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62"/>
        <w:gridCol w:w="4892"/>
      </w:tblGrid>
      <w:tr w:rsidR="009C45DA" w:rsidRPr="005133FF" w:rsidTr="003F7DB3">
        <w:tc>
          <w:tcPr>
            <w:tcW w:w="4594" w:type="dxa"/>
          </w:tcPr>
          <w:p w:rsidR="009C45DA" w:rsidRPr="005133FF" w:rsidRDefault="009C45DA" w:rsidP="003F7DB3">
            <w:pPr>
              <w:rPr>
                <w:sz w:val="26"/>
                <w:szCs w:val="26"/>
              </w:rPr>
            </w:pPr>
            <w:r w:rsidRPr="005133FF">
              <w:rPr>
                <w:sz w:val="26"/>
                <w:szCs w:val="26"/>
              </w:rPr>
              <w:t xml:space="preserve">   </w:t>
            </w:r>
          </w:p>
        </w:tc>
        <w:tc>
          <w:tcPr>
            <w:tcW w:w="4976" w:type="dxa"/>
          </w:tcPr>
          <w:p w:rsidR="009C45DA" w:rsidRPr="005133FF" w:rsidRDefault="009C45DA" w:rsidP="009C45DA">
            <w:pPr>
              <w:rPr>
                <w:iCs/>
                <w:sz w:val="26"/>
                <w:szCs w:val="26"/>
              </w:rPr>
            </w:pPr>
          </w:p>
          <w:p w:rsidR="009C45DA" w:rsidRPr="005133FF" w:rsidRDefault="009C45DA" w:rsidP="009C45DA">
            <w:pPr>
              <w:rPr>
                <w:iCs/>
                <w:sz w:val="26"/>
                <w:szCs w:val="26"/>
              </w:rPr>
            </w:pPr>
          </w:p>
          <w:p w:rsidR="00A6515C" w:rsidRPr="00A6515C" w:rsidRDefault="00A6515C" w:rsidP="00A6515C">
            <w:pPr>
              <w:ind w:left="402"/>
              <w:rPr>
                <w:iCs/>
                <w:sz w:val="26"/>
                <w:szCs w:val="26"/>
              </w:rPr>
            </w:pPr>
            <w:r w:rsidRPr="00A6515C">
              <w:rPr>
                <w:iCs/>
                <w:sz w:val="26"/>
                <w:szCs w:val="26"/>
              </w:rPr>
              <w:t xml:space="preserve">ФГБВОУ ВО «Военно-медицинская академия имени С.М. Кирова» Министерства обороны </w:t>
            </w:r>
          </w:p>
          <w:p w:rsidR="00A6515C" w:rsidRPr="00A6515C" w:rsidRDefault="00A6515C" w:rsidP="00A6515C">
            <w:pPr>
              <w:ind w:left="402"/>
              <w:rPr>
                <w:iCs/>
                <w:sz w:val="26"/>
                <w:szCs w:val="26"/>
              </w:rPr>
            </w:pPr>
            <w:r w:rsidRPr="00A6515C">
              <w:rPr>
                <w:iCs/>
                <w:sz w:val="26"/>
                <w:szCs w:val="26"/>
              </w:rPr>
              <w:t>Российской Федерации</w:t>
            </w:r>
          </w:p>
          <w:p w:rsidR="00A6515C" w:rsidRPr="00A6515C" w:rsidRDefault="00A6515C" w:rsidP="00A6515C">
            <w:pPr>
              <w:ind w:left="402"/>
              <w:rPr>
                <w:iCs/>
                <w:sz w:val="26"/>
                <w:szCs w:val="26"/>
              </w:rPr>
            </w:pPr>
            <w:r w:rsidRPr="00A6515C">
              <w:rPr>
                <w:iCs/>
                <w:sz w:val="26"/>
                <w:szCs w:val="26"/>
              </w:rPr>
              <w:t>ул. Академика Лебедева, д. 6, лит. Ж,</w:t>
            </w:r>
          </w:p>
          <w:p w:rsidR="00A6515C" w:rsidRPr="00A6515C" w:rsidRDefault="00A6515C" w:rsidP="00A6515C">
            <w:pPr>
              <w:ind w:left="402"/>
              <w:rPr>
                <w:iCs/>
                <w:sz w:val="26"/>
                <w:szCs w:val="26"/>
              </w:rPr>
            </w:pPr>
            <w:r w:rsidRPr="00A6515C">
              <w:rPr>
                <w:iCs/>
                <w:sz w:val="26"/>
                <w:szCs w:val="26"/>
              </w:rPr>
              <w:t>Санкт-Петербург, 194044</w:t>
            </w:r>
          </w:p>
          <w:p w:rsidR="00A6515C" w:rsidRPr="00A6515C" w:rsidRDefault="00A6515C" w:rsidP="00A6515C">
            <w:pPr>
              <w:ind w:left="402"/>
              <w:rPr>
                <w:iCs/>
                <w:sz w:val="26"/>
                <w:szCs w:val="26"/>
              </w:rPr>
            </w:pPr>
            <w:r w:rsidRPr="00A6515C">
              <w:rPr>
                <w:iCs/>
                <w:sz w:val="26"/>
                <w:szCs w:val="26"/>
              </w:rPr>
              <w:t>тел.: 7-812-5422645</w:t>
            </w:r>
          </w:p>
          <w:p w:rsidR="00A6515C" w:rsidRPr="00A6515C" w:rsidRDefault="00A6515C" w:rsidP="00A6515C">
            <w:pPr>
              <w:ind w:left="402"/>
              <w:rPr>
                <w:iCs/>
                <w:sz w:val="26"/>
                <w:szCs w:val="26"/>
              </w:rPr>
            </w:pPr>
            <w:r w:rsidRPr="00A6515C">
              <w:rPr>
                <w:iCs/>
                <w:sz w:val="26"/>
                <w:szCs w:val="26"/>
              </w:rPr>
              <w:t xml:space="preserve">                                                                                           </w:t>
            </w:r>
          </w:p>
          <w:p w:rsidR="00A6515C" w:rsidRPr="00A6515C" w:rsidRDefault="00A6515C" w:rsidP="00A6515C">
            <w:pPr>
              <w:ind w:left="402"/>
              <w:rPr>
                <w:iCs/>
                <w:sz w:val="26"/>
                <w:szCs w:val="26"/>
              </w:rPr>
            </w:pPr>
            <w:r w:rsidRPr="00A6515C">
              <w:rPr>
                <w:iCs/>
                <w:sz w:val="26"/>
                <w:szCs w:val="26"/>
              </w:rPr>
              <w:t>ООО «АСТ ГОЗ»</w:t>
            </w:r>
          </w:p>
          <w:p w:rsidR="00A6515C" w:rsidRPr="00A6515C" w:rsidRDefault="00A6515C" w:rsidP="00A6515C">
            <w:pPr>
              <w:ind w:left="402"/>
              <w:rPr>
                <w:iCs/>
                <w:sz w:val="26"/>
                <w:szCs w:val="26"/>
              </w:rPr>
            </w:pPr>
            <w:r w:rsidRPr="00A6515C">
              <w:rPr>
                <w:iCs/>
                <w:sz w:val="26"/>
                <w:szCs w:val="26"/>
              </w:rPr>
              <w:t>Профсоюзная ул., д. 78, стр. 1,</w:t>
            </w:r>
          </w:p>
          <w:p w:rsidR="00A6515C" w:rsidRPr="00A6515C" w:rsidRDefault="00A6515C" w:rsidP="00A6515C">
            <w:pPr>
              <w:ind w:left="402"/>
              <w:rPr>
                <w:iCs/>
                <w:sz w:val="26"/>
                <w:szCs w:val="26"/>
              </w:rPr>
            </w:pPr>
            <w:r w:rsidRPr="00A6515C">
              <w:rPr>
                <w:iCs/>
                <w:sz w:val="26"/>
                <w:szCs w:val="26"/>
              </w:rPr>
              <w:t>Москва, 197393</w:t>
            </w:r>
          </w:p>
          <w:p w:rsidR="00A6515C" w:rsidRPr="00A6515C" w:rsidRDefault="00A6515C" w:rsidP="00A6515C">
            <w:pPr>
              <w:ind w:left="402"/>
              <w:rPr>
                <w:iCs/>
                <w:sz w:val="26"/>
                <w:szCs w:val="26"/>
              </w:rPr>
            </w:pPr>
            <w:r w:rsidRPr="00A6515C">
              <w:rPr>
                <w:iCs/>
                <w:sz w:val="26"/>
                <w:szCs w:val="26"/>
              </w:rPr>
              <w:t>факс: +7 (495) 787-29-94</w:t>
            </w:r>
          </w:p>
          <w:p w:rsidR="00A6515C" w:rsidRPr="00A6515C" w:rsidRDefault="00A6515C" w:rsidP="00A6515C">
            <w:pPr>
              <w:ind w:left="402"/>
              <w:rPr>
                <w:iCs/>
                <w:sz w:val="26"/>
                <w:szCs w:val="26"/>
              </w:rPr>
            </w:pPr>
          </w:p>
          <w:p w:rsidR="00A6515C" w:rsidRPr="00A6515C" w:rsidRDefault="00A6515C" w:rsidP="00A6515C">
            <w:pPr>
              <w:ind w:left="402"/>
              <w:rPr>
                <w:iCs/>
                <w:sz w:val="26"/>
                <w:szCs w:val="26"/>
              </w:rPr>
            </w:pPr>
            <w:r w:rsidRPr="00A6515C">
              <w:rPr>
                <w:iCs/>
                <w:sz w:val="26"/>
                <w:szCs w:val="26"/>
              </w:rPr>
              <w:t>ООО «Медлабком»</w:t>
            </w:r>
          </w:p>
          <w:p w:rsidR="00A6515C" w:rsidRPr="00A6515C" w:rsidRDefault="00A6515C" w:rsidP="00A6515C">
            <w:pPr>
              <w:ind w:left="402"/>
              <w:rPr>
                <w:iCs/>
                <w:sz w:val="26"/>
                <w:szCs w:val="26"/>
              </w:rPr>
            </w:pPr>
            <w:r w:rsidRPr="00A6515C">
              <w:rPr>
                <w:iCs/>
                <w:sz w:val="26"/>
                <w:szCs w:val="26"/>
              </w:rPr>
              <w:t>4-й Верхний пер., д. 19, лит. А, 64-Н, пом. 4,</w:t>
            </w:r>
          </w:p>
          <w:p w:rsidR="00A6515C" w:rsidRPr="00A6515C" w:rsidRDefault="00A6515C" w:rsidP="00A6515C">
            <w:pPr>
              <w:ind w:left="402"/>
              <w:rPr>
                <w:iCs/>
                <w:sz w:val="26"/>
                <w:szCs w:val="26"/>
              </w:rPr>
            </w:pPr>
            <w:r w:rsidRPr="00A6515C">
              <w:rPr>
                <w:iCs/>
                <w:sz w:val="26"/>
                <w:szCs w:val="26"/>
              </w:rPr>
              <w:t>п. Парголово, г. Санкт-Петербург, 194292</w:t>
            </w:r>
          </w:p>
          <w:p w:rsidR="009C45DA" w:rsidRPr="005133FF" w:rsidRDefault="00A6515C" w:rsidP="00A6515C">
            <w:pPr>
              <w:ind w:left="402"/>
              <w:rPr>
                <w:color w:val="000000"/>
                <w:sz w:val="26"/>
                <w:szCs w:val="26"/>
                <w:shd w:val="clear" w:color="auto" w:fill="FFFFFF"/>
              </w:rPr>
            </w:pPr>
            <w:r w:rsidRPr="00A6515C">
              <w:rPr>
                <w:iCs/>
                <w:sz w:val="26"/>
                <w:szCs w:val="26"/>
              </w:rPr>
              <w:t>тел.: +7 (812) 454-45-34</w:t>
            </w:r>
          </w:p>
        </w:tc>
      </w:tr>
    </w:tbl>
    <w:p w:rsidR="009C45DA" w:rsidRPr="005133FF" w:rsidRDefault="009C45DA" w:rsidP="009C45DA">
      <w:pPr>
        <w:jc w:val="center"/>
        <w:outlineLvl w:val="0"/>
        <w:rPr>
          <w:sz w:val="26"/>
          <w:szCs w:val="26"/>
        </w:rPr>
      </w:pPr>
    </w:p>
    <w:p w:rsidR="009C45DA" w:rsidRPr="005133FF" w:rsidRDefault="009C45DA" w:rsidP="009C45DA">
      <w:pPr>
        <w:jc w:val="center"/>
        <w:outlineLvl w:val="0"/>
        <w:rPr>
          <w:sz w:val="26"/>
          <w:szCs w:val="26"/>
        </w:rPr>
      </w:pPr>
    </w:p>
    <w:p w:rsidR="009C45DA" w:rsidRPr="005133FF" w:rsidRDefault="009C45DA" w:rsidP="009C45DA">
      <w:pPr>
        <w:jc w:val="center"/>
        <w:outlineLvl w:val="0"/>
        <w:rPr>
          <w:sz w:val="26"/>
          <w:szCs w:val="26"/>
        </w:rPr>
      </w:pPr>
    </w:p>
    <w:p w:rsidR="009C45DA" w:rsidRPr="005133FF" w:rsidRDefault="009C45DA" w:rsidP="009C45DA">
      <w:pPr>
        <w:jc w:val="center"/>
        <w:outlineLvl w:val="0"/>
        <w:rPr>
          <w:bCs/>
          <w:sz w:val="26"/>
          <w:szCs w:val="26"/>
        </w:rPr>
      </w:pPr>
      <w:r w:rsidRPr="005133FF">
        <w:rPr>
          <w:bCs/>
          <w:sz w:val="26"/>
          <w:szCs w:val="26"/>
        </w:rPr>
        <w:t>РЕШЕНИЕ</w:t>
      </w:r>
    </w:p>
    <w:p w:rsidR="009C45DA" w:rsidRPr="005133FF" w:rsidRDefault="009C45DA" w:rsidP="009C45DA">
      <w:pPr>
        <w:jc w:val="center"/>
        <w:rPr>
          <w:sz w:val="26"/>
          <w:szCs w:val="26"/>
        </w:rPr>
      </w:pPr>
      <w:r w:rsidRPr="005133FF">
        <w:rPr>
          <w:sz w:val="26"/>
          <w:szCs w:val="26"/>
        </w:rPr>
        <w:t xml:space="preserve">по делу № </w:t>
      </w:r>
      <w:r w:rsidRPr="005133FF">
        <w:rPr>
          <w:b/>
          <w:sz w:val="26"/>
          <w:szCs w:val="26"/>
        </w:rPr>
        <w:t>44-</w:t>
      </w:r>
      <w:r w:rsidR="00130639" w:rsidRPr="00130639">
        <w:rPr>
          <w:b/>
          <w:sz w:val="26"/>
          <w:szCs w:val="26"/>
        </w:rPr>
        <w:t>4866</w:t>
      </w:r>
      <w:r w:rsidRPr="005133FF">
        <w:rPr>
          <w:b/>
          <w:sz w:val="26"/>
          <w:szCs w:val="26"/>
        </w:rPr>
        <w:t>/21</w:t>
      </w:r>
      <w:r w:rsidRPr="005133FF">
        <w:rPr>
          <w:sz w:val="26"/>
          <w:szCs w:val="26"/>
        </w:rPr>
        <w:t xml:space="preserve"> </w:t>
      </w:r>
    </w:p>
    <w:p w:rsidR="009C45DA" w:rsidRPr="005133FF" w:rsidRDefault="009C45DA" w:rsidP="009C45DA">
      <w:pPr>
        <w:jc w:val="center"/>
        <w:rPr>
          <w:sz w:val="26"/>
          <w:szCs w:val="26"/>
        </w:rPr>
      </w:pPr>
      <w:r w:rsidRPr="005133FF">
        <w:rPr>
          <w:sz w:val="26"/>
          <w:szCs w:val="26"/>
        </w:rPr>
        <w:t>о нарушении законодательства о контрактной системе</w:t>
      </w:r>
    </w:p>
    <w:p w:rsidR="009C45DA" w:rsidRPr="005133FF" w:rsidRDefault="009C45DA" w:rsidP="009C45DA">
      <w:pPr>
        <w:ind w:firstLine="540"/>
        <w:jc w:val="both"/>
        <w:rPr>
          <w:sz w:val="26"/>
          <w:szCs w:val="26"/>
        </w:rPr>
      </w:pPr>
    </w:p>
    <w:p w:rsidR="009C45DA" w:rsidRPr="005133FF" w:rsidRDefault="008D333B" w:rsidP="009C45DA">
      <w:pPr>
        <w:tabs>
          <w:tab w:val="left" w:pos="0"/>
        </w:tabs>
        <w:jc w:val="both"/>
        <w:rPr>
          <w:sz w:val="26"/>
          <w:szCs w:val="26"/>
        </w:rPr>
      </w:pPr>
      <w:r>
        <w:rPr>
          <w:sz w:val="26"/>
          <w:szCs w:val="26"/>
        </w:rPr>
        <w:t>22</w:t>
      </w:r>
      <w:r w:rsidR="00A6515C">
        <w:rPr>
          <w:sz w:val="26"/>
          <w:szCs w:val="26"/>
        </w:rPr>
        <w:t>.10</w:t>
      </w:r>
      <w:r w:rsidR="009C45DA" w:rsidRPr="005133FF">
        <w:rPr>
          <w:sz w:val="26"/>
          <w:szCs w:val="26"/>
        </w:rPr>
        <w:t>.2021                                                                                                Санкт-Петербург</w:t>
      </w:r>
    </w:p>
    <w:p w:rsidR="009C45DA" w:rsidRPr="005133FF" w:rsidRDefault="009C45DA" w:rsidP="009C45DA">
      <w:pPr>
        <w:tabs>
          <w:tab w:val="left" w:pos="0"/>
        </w:tabs>
        <w:jc w:val="both"/>
        <w:rPr>
          <w:sz w:val="26"/>
          <w:szCs w:val="26"/>
        </w:rPr>
      </w:pPr>
    </w:p>
    <w:p w:rsidR="009C45DA" w:rsidRDefault="009C45DA" w:rsidP="009C45DA">
      <w:pPr>
        <w:tabs>
          <w:tab w:val="left" w:pos="0"/>
        </w:tabs>
        <w:jc w:val="both"/>
        <w:rPr>
          <w:sz w:val="26"/>
          <w:szCs w:val="26"/>
        </w:rPr>
      </w:pPr>
      <w:r w:rsidRPr="005133FF">
        <w:rPr>
          <w:sz w:val="26"/>
          <w:szCs w:val="26"/>
        </w:rPr>
        <w:tab/>
        <w:t>Комиссия Санкт-Петербургского УФАС России по контролю в сфере закупок (далее – Комиссия УФАС)</w:t>
      </w:r>
      <w:r w:rsidR="008D333B">
        <w:rPr>
          <w:sz w:val="26"/>
          <w:szCs w:val="26"/>
        </w:rPr>
        <w:t>:</w:t>
      </w:r>
    </w:p>
    <w:p w:rsidR="008D333B" w:rsidRPr="005133FF" w:rsidRDefault="008D333B" w:rsidP="00685DA7">
      <w:pPr>
        <w:tabs>
          <w:tab w:val="left" w:pos="0"/>
        </w:tabs>
        <w:jc w:val="both"/>
        <w:rPr>
          <w:sz w:val="26"/>
          <w:szCs w:val="26"/>
        </w:rPr>
      </w:pPr>
      <w:r>
        <w:rPr>
          <w:sz w:val="26"/>
          <w:szCs w:val="26"/>
        </w:rPr>
        <w:tab/>
      </w:r>
    </w:p>
    <w:p w:rsidR="009C45DA" w:rsidRPr="005133FF" w:rsidRDefault="009C45DA" w:rsidP="009C45DA">
      <w:pPr>
        <w:tabs>
          <w:tab w:val="left" w:pos="0"/>
        </w:tabs>
        <w:jc w:val="both"/>
        <w:rPr>
          <w:spacing w:val="-6"/>
          <w:sz w:val="26"/>
          <w:szCs w:val="26"/>
        </w:rPr>
      </w:pPr>
      <w:r w:rsidRPr="005133FF">
        <w:rPr>
          <w:sz w:val="26"/>
          <w:szCs w:val="26"/>
        </w:rPr>
        <w:tab/>
      </w:r>
      <w:r w:rsidRPr="005133FF">
        <w:rPr>
          <w:spacing w:val="-6"/>
          <w:sz w:val="26"/>
          <w:szCs w:val="26"/>
        </w:rPr>
        <w:t>при участии представителей:</w:t>
      </w:r>
    </w:p>
    <w:p w:rsidR="009C45DA" w:rsidRPr="005133FF" w:rsidRDefault="009C45DA" w:rsidP="00A6515C">
      <w:pPr>
        <w:tabs>
          <w:tab w:val="left" w:pos="0"/>
        </w:tabs>
        <w:jc w:val="both"/>
        <w:rPr>
          <w:iCs/>
          <w:sz w:val="26"/>
          <w:szCs w:val="26"/>
        </w:rPr>
      </w:pPr>
      <w:r w:rsidRPr="005133FF">
        <w:rPr>
          <w:spacing w:val="-6"/>
          <w:sz w:val="26"/>
          <w:szCs w:val="26"/>
        </w:rPr>
        <w:tab/>
      </w:r>
      <w:r w:rsidR="00A6515C" w:rsidRPr="00A6515C">
        <w:rPr>
          <w:iCs/>
          <w:sz w:val="26"/>
          <w:szCs w:val="26"/>
        </w:rPr>
        <w:t>ФГБВОУ ВО «Военно-медицинская академия имени С.М. Кирова» Министерства обороны Российской Федерации</w:t>
      </w:r>
      <w:r w:rsidRPr="005133FF">
        <w:rPr>
          <w:iCs/>
          <w:sz w:val="26"/>
          <w:szCs w:val="26"/>
        </w:rPr>
        <w:t xml:space="preserve"> (далее – Заказчик);</w:t>
      </w:r>
    </w:p>
    <w:p w:rsidR="009C45DA" w:rsidRPr="005133FF" w:rsidRDefault="009C45DA" w:rsidP="009C45DA">
      <w:pPr>
        <w:tabs>
          <w:tab w:val="left" w:pos="0"/>
        </w:tabs>
        <w:jc w:val="both"/>
        <w:rPr>
          <w:iCs/>
          <w:sz w:val="26"/>
          <w:szCs w:val="26"/>
        </w:rPr>
      </w:pPr>
      <w:r w:rsidRPr="005133FF">
        <w:rPr>
          <w:iCs/>
          <w:sz w:val="26"/>
          <w:szCs w:val="26"/>
        </w:rPr>
        <w:tab/>
      </w:r>
      <w:r w:rsidR="00A6515C" w:rsidRPr="00A6515C">
        <w:rPr>
          <w:iCs/>
          <w:sz w:val="26"/>
          <w:szCs w:val="26"/>
        </w:rPr>
        <w:t>ООО «Медлабком»</w:t>
      </w:r>
      <w:r w:rsidRPr="005133FF">
        <w:rPr>
          <w:sz w:val="26"/>
          <w:szCs w:val="26"/>
        </w:rPr>
        <w:t xml:space="preserve"> (далее – Заявитель)</w:t>
      </w:r>
      <w:r w:rsidR="00A6515C">
        <w:rPr>
          <w:iCs/>
          <w:sz w:val="26"/>
          <w:szCs w:val="26"/>
        </w:rPr>
        <w:t>,</w:t>
      </w:r>
    </w:p>
    <w:p w:rsidR="009C45DA" w:rsidRPr="005133FF" w:rsidRDefault="009C45DA" w:rsidP="009C45DA">
      <w:pPr>
        <w:tabs>
          <w:tab w:val="left" w:pos="0"/>
        </w:tabs>
        <w:jc w:val="both"/>
        <w:rPr>
          <w:sz w:val="26"/>
          <w:szCs w:val="26"/>
        </w:rPr>
      </w:pPr>
      <w:r w:rsidRPr="005133FF">
        <w:rPr>
          <w:sz w:val="26"/>
          <w:szCs w:val="26"/>
        </w:rPr>
        <w:tab/>
        <w:t xml:space="preserve">рассмотрев посредством системы видеоконференцсвязи жалобу Заявителя (вх. </w:t>
      </w:r>
      <w:r w:rsidR="00A6515C" w:rsidRPr="00A6515C">
        <w:rPr>
          <w:sz w:val="26"/>
          <w:szCs w:val="26"/>
        </w:rPr>
        <w:t>32370-ЭП/21 от 15.10.2021</w:t>
      </w:r>
      <w:r w:rsidRPr="005133FF">
        <w:rPr>
          <w:sz w:val="26"/>
          <w:szCs w:val="26"/>
        </w:rPr>
        <w:t xml:space="preserve">) на действия СПб ГБПОУ «Петровский колледж» (далее – Заказчик) при определении поставщика (подрядчика, исполнителя) путем проведения </w:t>
      </w:r>
      <w:r w:rsidR="00A6515C" w:rsidRPr="00A6515C">
        <w:rPr>
          <w:sz w:val="26"/>
          <w:szCs w:val="26"/>
        </w:rPr>
        <w:t>закрытого аукциона</w:t>
      </w:r>
      <w:r w:rsidRPr="005133FF">
        <w:rPr>
          <w:sz w:val="26"/>
          <w:szCs w:val="26"/>
        </w:rPr>
        <w:t xml:space="preserve"> на </w:t>
      </w:r>
      <w:r w:rsidR="00A6515C" w:rsidRPr="00A6515C">
        <w:rPr>
          <w:sz w:val="26"/>
          <w:szCs w:val="26"/>
        </w:rPr>
        <w:t>поставку медицинского оборудования для нужд клинических подразделений Военно-медицинской академии имени С.М. Кирова (извещение № 0372100024521000687)</w:t>
      </w:r>
      <w:r w:rsidRPr="005133FF">
        <w:rPr>
          <w:sz w:val="26"/>
          <w:szCs w:val="26"/>
        </w:rPr>
        <w:t xml:space="preserve">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5133FF">
        <w:rPr>
          <w:bCs/>
          <w:sz w:val="26"/>
          <w:szCs w:val="26"/>
        </w:rPr>
        <w:t xml:space="preserve">Административного регламента Федеральной </w:t>
      </w:r>
      <w:r w:rsidRPr="005133FF">
        <w:rPr>
          <w:bCs/>
          <w:sz w:val="26"/>
          <w:szCs w:val="26"/>
        </w:rPr>
        <w:lastRenderedPageBreak/>
        <w:t>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5133FF">
        <w:rPr>
          <w:spacing w:val="6"/>
          <w:sz w:val="26"/>
          <w:szCs w:val="26"/>
        </w:rPr>
        <w:t xml:space="preserve">, утвержденного приказом ФАС России от 19.11.2014 № 727/14 </w:t>
      </w:r>
      <w:r w:rsidRPr="005133FF">
        <w:rPr>
          <w:sz w:val="26"/>
          <w:szCs w:val="26"/>
        </w:rPr>
        <w:t>(далее – Административный регламент),</w:t>
      </w:r>
    </w:p>
    <w:p w:rsidR="009C45DA" w:rsidRPr="005133FF" w:rsidRDefault="009C45DA" w:rsidP="009C45DA">
      <w:pPr>
        <w:jc w:val="center"/>
        <w:rPr>
          <w:sz w:val="26"/>
          <w:szCs w:val="26"/>
        </w:rPr>
      </w:pPr>
    </w:p>
    <w:p w:rsidR="009C45DA" w:rsidRPr="005133FF" w:rsidRDefault="009C45DA" w:rsidP="009C45DA">
      <w:pPr>
        <w:jc w:val="center"/>
        <w:rPr>
          <w:bCs/>
          <w:sz w:val="26"/>
          <w:szCs w:val="26"/>
        </w:rPr>
      </w:pPr>
      <w:r w:rsidRPr="005133FF">
        <w:rPr>
          <w:bCs/>
          <w:sz w:val="26"/>
          <w:szCs w:val="26"/>
        </w:rPr>
        <w:t>УСТАНОВИЛА:</w:t>
      </w:r>
    </w:p>
    <w:p w:rsidR="009C45DA" w:rsidRPr="005133FF" w:rsidRDefault="009C45DA" w:rsidP="009C45DA">
      <w:pPr>
        <w:jc w:val="center"/>
        <w:outlineLvl w:val="0"/>
        <w:rPr>
          <w:sz w:val="26"/>
          <w:szCs w:val="26"/>
        </w:rPr>
      </w:pPr>
    </w:p>
    <w:p w:rsidR="009C45DA" w:rsidRPr="005133FF" w:rsidRDefault="009C45DA" w:rsidP="009C45DA">
      <w:pPr>
        <w:ind w:firstLine="709"/>
        <w:jc w:val="both"/>
        <w:rPr>
          <w:sz w:val="26"/>
          <w:szCs w:val="26"/>
        </w:rPr>
      </w:pPr>
      <w:r w:rsidRPr="005133FF">
        <w:rPr>
          <w:sz w:val="26"/>
          <w:szCs w:val="26"/>
        </w:rPr>
        <w:t>Извещение о проведении эл</w:t>
      </w:r>
      <w:r w:rsidR="00A6515C">
        <w:rPr>
          <w:sz w:val="26"/>
          <w:szCs w:val="26"/>
        </w:rPr>
        <w:t>ектронного аукциона размещено 07.10</w:t>
      </w:r>
      <w:r w:rsidRPr="005133FF">
        <w:rPr>
          <w:sz w:val="26"/>
          <w:szCs w:val="26"/>
        </w:rPr>
        <w:t>.2021 на Официальном сайте Единой информационной системы в сфере закупок www.</w:t>
      </w:r>
      <w:r w:rsidRPr="005133FF">
        <w:rPr>
          <w:sz w:val="26"/>
          <w:szCs w:val="26"/>
          <w:lang w:val="en-US"/>
        </w:rPr>
        <w:t>zakupki</w:t>
      </w:r>
      <w:r w:rsidRPr="005133FF">
        <w:rPr>
          <w:sz w:val="26"/>
          <w:szCs w:val="26"/>
        </w:rPr>
        <w:t>.</w:t>
      </w:r>
      <w:r w:rsidRPr="005133FF">
        <w:rPr>
          <w:sz w:val="26"/>
          <w:szCs w:val="26"/>
          <w:lang w:val="en-US"/>
        </w:rPr>
        <w:t>gov</w:t>
      </w:r>
      <w:r w:rsidRPr="005133FF">
        <w:rPr>
          <w:sz w:val="26"/>
          <w:szCs w:val="26"/>
        </w:rPr>
        <w:t xml:space="preserve">.ru, номер извещения </w:t>
      </w:r>
      <w:r w:rsidR="00A6515C" w:rsidRPr="00A6515C">
        <w:rPr>
          <w:sz w:val="26"/>
          <w:szCs w:val="26"/>
        </w:rPr>
        <w:t>0372100024521000687</w:t>
      </w:r>
      <w:r w:rsidRPr="005133FF">
        <w:rPr>
          <w:sz w:val="26"/>
          <w:szCs w:val="26"/>
        </w:rPr>
        <w:t xml:space="preserve">. Начальная (максимальная) цена контракта – </w:t>
      </w:r>
      <w:r w:rsidR="00A6515C" w:rsidRPr="00A6515C">
        <w:rPr>
          <w:color w:val="000000"/>
          <w:sz w:val="26"/>
          <w:szCs w:val="26"/>
        </w:rPr>
        <w:t>169 000 000,00</w:t>
      </w:r>
      <w:r w:rsidRPr="005133FF">
        <w:rPr>
          <w:color w:val="000000"/>
          <w:sz w:val="26"/>
          <w:szCs w:val="26"/>
        </w:rPr>
        <w:t xml:space="preserve"> </w:t>
      </w:r>
      <w:r w:rsidRPr="005133FF">
        <w:rPr>
          <w:sz w:val="26"/>
          <w:szCs w:val="26"/>
        </w:rPr>
        <w:t>рубля.</w:t>
      </w:r>
    </w:p>
    <w:p w:rsidR="009C45DA" w:rsidRDefault="009C45DA" w:rsidP="008D333B">
      <w:pPr>
        <w:ind w:right="-5" w:firstLine="720"/>
        <w:jc w:val="both"/>
        <w:rPr>
          <w:sz w:val="26"/>
          <w:szCs w:val="26"/>
        </w:rPr>
      </w:pPr>
      <w:r w:rsidRPr="005133FF">
        <w:rPr>
          <w:sz w:val="26"/>
          <w:szCs w:val="26"/>
        </w:rPr>
        <w:t xml:space="preserve">В жалобе </w:t>
      </w:r>
      <w:r w:rsidR="00A6515C" w:rsidRPr="00A6515C">
        <w:rPr>
          <w:iCs/>
          <w:sz w:val="26"/>
          <w:szCs w:val="26"/>
        </w:rPr>
        <w:t>ООО «Медлабком»</w:t>
      </w:r>
      <w:r w:rsidR="008D333B">
        <w:rPr>
          <w:iCs/>
          <w:sz w:val="26"/>
          <w:szCs w:val="26"/>
        </w:rPr>
        <w:t xml:space="preserve"> </w:t>
      </w:r>
      <w:r w:rsidRPr="005133FF">
        <w:rPr>
          <w:sz w:val="26"/>
          <w:szCs w:val="26"/>
        </w:rPr>
        <w:t>указывает на нарушения Заказчиком требований законода</w:t>
      </w:r>
      <w:r w:rsidR="008D333B">
        <w:rPr>
          <w:sz w:val="26"/>
          <w:szCs w:val="26"/>
        </w:rPr>
        <w:t>тельства о контрактной системе.</w:t>
      </w:r>
    </w:p>
    <w:p w:rsidR="009C45DA" w:rsidRPr="005133FF" w:rsidRDefault="009C45DA" w:rsidP="009C45DA">
      <w:pPr>
        <w:ind w:right="-5" w:firstLine="720"/>
        <w:jc w:val="both"/>
        <w:rPr>
          <w:sz w:val="26"/>
          <w:szCs w:val="26"/>
        </w:rPr>
      </w:pPr>
      <w:r w:rsidRPr="005133FF">
        <w:rPr>
          <w:sz w:val="26"/>
          <w:szCs w:val="26"/>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rsidR="009C45DA" w:rsidRDefault="009C45DA" w:rsidP="004F342A">
      <w:pPr>
        <w:pStyle w:val="a6"/>
        <w:spacing w:before="0" w:beforeAutospacing="0" w:after="0" w:afterAutospacing="0"/>
        <w:ind w:firstLine="720"/>
        <w:jc w:val="both"/>
        <w:rPr>
          <w:color w:val="000000"/>
          <w:sz w:val="26"/>
          <w:szCs w:val="26"/>
        </w:rPr>
      </w:pPr>
      <w:r w:rsidRPr="005133FF">
        <w:rPr>
          <w:sz w:val="26"/>
          <w:szCs w:val="26"/>
        </w:rPr>
        <w:t xml:space="preserve">Информация, изложенная в жалобе, пояснения сторон, имеющиеся документы </w:t>
      </w:r>
      <w:r w:rsidRPr="005133FF">
        <w:rPr>
          <w:color w:val="000000"/>
          <w:sz w:val="26"/>
          <w:szCs w:val="26"/>
        </w:rPr>
        <w:t>подтверждают следующие обстоятельства.</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В соответствии со ст. 111 Закона о контрактной системе,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В соответствии с информацией, размещенной в Единой информационной системе в сфере закупок, указанная закупка проводится в соответствии с требованиями постановления Правительства Российской Федерации от 27.11.2017 № 1428 «Об особенностях осуществления закупки для нужд обороны страны и безопасности государства» (далее – Постановление).</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Постановлением утвержден Перечень заказчиков, при осуществлении закупки которыми применяются закрытые способы определения поставщиков (подрядчиков, исполнителей), в который входят:</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1. Министерство обороны Российской Федерации, а также подведомственные государственные учреждения и государственные унитарные предприятия.</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2. Федеральная служба безопасности Российской Федерации, а также подведомственные государственные учреждения и государственные унитарные предприятия.</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lastRenderedPageBreak/>
        <w:t>3. Служба внешней разведки Российской Федерации, а также подведомственные государственные учреждения и государственные унитарные предприятия.</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Заказчик отнесен к первому пункту Перечня.</w:t>
      </w:r>
    </w:p>
    <w:p w:rsidR="00A6515C" w:rsidRPr="00A6515C" w:rsidRDefault="00A6515C" w:rsidP="00A6515C">
      <w:pPr>
        <w:widowControl w:val="0"/>
        <w:autoSpaceDE w:val="0"/>
        <w:autoSpaceDN w:val="0"/>
        <w:adjustRightInd w:val="0"/>
        <w:ind w:firstLine="708"/>
        <w:jc w:val="both"/>
        <w:outlineLvl w:val="1"/>
        <w:rPr>
          <w:rFonts w:eastAsiaTheme="minorHAnsi"/>
          <w:sz w:val="26"/>
          <w:szCs w:val="26"/>
          <w:lang w:eastAsia="en-US"/>
        </w:rPr>
      </w:pPr>
      <w:r w:rsidRPr="00A6515C">
        <w:rPr>
          <w:rFonts w:eastAsiaTheme="minorHAnsi"/>
          <w:sz w:val="26"/>
          <w:szCs w:val="26"/>
          <w:lang w:eastAsia="en-US"/>
        </w:rPr>
        <w:t xml:space="preserve">Согласно письму от 29.01.2018 № 24-04-06/4970, № 14-00-06/1303 </w:t>
      </w:r>
      <w:r w:rsidRPr="00A6515C">
        <w:rPr>
          <w:rFonts w:eastAsiaTheme="minorHAnsi"/>
          <w:sz w:val="26"/>
          <w:szCs w:val="26"/>
          <w:lang w:eastAsia="en-US"/>
        </w:rPr>
        <w:br/>
        <w:t>№ МО/5562/18 Минфина России, Федерального казначейства, ФАС России о применении постановления Правительства Российской Федерации от 27.11.2017 № 1428 «Об особенностях осуществления закупки для нужд обороны страны и безопасности государства» при проведении закрытого аукциона с использованием функционала специализированной электронной площадки целесообразно применять порядок проведения электронного аукциона, установленный Законом о контрактной системе, в том числе в части требований к порядку подачи заявок, рассмотрению первых частей заявок, проведению процедуры торгов, рассмотрению вторых частей заявок, заключению контракта.</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 33 настоящего Федерального закона, в том числе обоснование начальной (максимальной) цены контракта.</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 xml:space="preserve">Согласно п.п. 1 и 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При описании в документации о закупке объекта закупки заказчики обязаны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lastRenderedPageBreak/>
        <w:t>Частью 2 ст. 33 Закона о контрактной системе установлено, что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При формировании Технического задания Заказчику в рамках Закона о контрактной системе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 xml:space="preserve">В соответствии с ч. 2 ст. 19 Закона о контрактной системе, </w:t>
      </w:r>
      <w:r w:rsidRPr="008D333B">
        <w:rPr>
          <w:rFonts w:eastAsiaTheme="minorHAnsi"/>
          <w:sz w:val="26"/>
          <w:szCs w:val="26"/>
          <w:lang w:eastAsia="en-US"/>
        </w:rPr>
        <w:br/>
        <w:t>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Комиссия УФАС приходит к выводу, что при формировании Технического задания Заказчику в рамках Закона о контрактной системе предоставлены полномочия по самостоятельному определению требований к конкретным показателям товаров, в наибольшей степени удовлетворяющих его потребности, с учетом норм Закона о контрактной системе.</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Постановление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КТРУ, Правила использования КТРУ) определяет правила формирования КТРУ для обеспечения государственных и муниципальных нужд.</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 xml:space="preserve">В соответствии с пунктом 4 Правил использования КТРУ, Заказчики обязаны применять информацию, включенную в позицию каталога </w:t>
      </w:r>
      <w:r w:rsidRPr="008D333B">
        <w:rPr>
          <w:rFonts w:eastAsiaTheme="minorHAnsi"/>
          <w:sz w:val="26"/>
          <w:szCs w:val="26"/>
          <w:lang w:eastAsia="en-US"/>
        </w:rPr>
        <w:br/>
        <w:t xml:space="preserve">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lastRenderedPageBreak/>
        <w:t>В силу подпункта «б» пункта 2 Правил использования КТРУ, каталог используется заказчиками в целях описания объектов закупки, которое включается в извещение об осуществлении закупки, приглашение и документацию о закупке.</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Таким образом, в случае, если объект закупки включен в КТРУ, то при описании объекта закупки используется соответствующая позиция КТРУ.</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 xml:space="preserve">Комиссия УФАС отмечает, что требования к закупаемым товарам установлены Заказчиком </w:t>
      </w:r>
      <w:r>
        <w:rPr>
          <w:rFonts w:eastAsiaTheme="minorHAnsi"/>
          <w:sz w:val="26"/>
          <w:szCs w:val="26"/>
          <w:lang w:eastAsia="en-US"/>
        </w:rPr>
        <w:t xml:space="preserve">в </w:t>
      </w:r>
      <w:r w:rsidR="00A6515C">
        <w:rPr>
          <w:rFonts w:eastAsiaTheme="minorHAnsi"/>
          <w:sz w:val="26"/>
          <w:szCs w:val="26"/>
          <w:lang w:eastAsia="en-US"/>
        </w:rPr>
        <w:t xml:space="preserve">Части </w:t>
      </w:r>
      <w:r w:rsidR="00A6515C">
        <w:rPr>
          <w:rFonts w:eastAsiaTheme="minorHAnsi"/>
          <w:sz w:val="26"/>
          <w:szCs w:val="26"/>
          <w:lang w:val="en-US" w:eastAsia="en-US"/>
        </w:rPr>
        <w:t>III</w:t>
      </w:r>
      <w:r w:rsidR="00A6515C">
        <w:rPr>
          <w:rFonts w:eastAsiaTheme="minorHAnsi"/>
          <w:sz w:val="26"/>
          <w:szCs w:val="26"/>
          <w:lang w:eastAsia="en-US"/>
        </w:rPr>
        <w:t xml:space="preserve"> </w:t>
      </w:r>
      <w:r w:rsidR="00A6515C" w:rsidRPr="00A6515C">
        <w:rPr>
          <w:rFonts w:eastAsiaTheme="minorHAnsi"/>
          <w:i/>
          <w:sz w:val="26"/>
          <w:szCs w:val="26"/>
          <w:lang w:eastAsia="en-US"/>
        </w:rPr>
        <w:t>«Требования к качеству, техническим характеристикам, безопасности, функциональным характеристикам (потребительским свойствам), размерам, упаковке, отгрузке товара»</w:t>
      </w:r>
      <w:r w:rsidRPr="008D333B">
        <w:rPr>
          <w:rFonts w:eastAsiaTheme="minorHAnsi"/>
          <w:sz w:val="26"/>
          <w:szCs w:val="26"/>
          <w:lang w:eastAsia="en-US"/>
        </w:rPr>
        <w:t xml:space="preserve"> </w:t>
      </w:r>
      <w:r w:rsidRPr="008D333B">
        <w:rPr>
          <w:rFonts w:eastAsiaTheme="minorHAnsi"/>
          <w:bCs/>
          <w:sz w:val="26"/>
          <w:szCs w:val="26"/>
          <w:lang w:eastAsia="en-US"/>
        </w:rPr>
        <w:t xml:space="preserve">к документации </w:t>
      </w:r>
      <w:r w:rsidRPr="008D333B">
        <w:rPr>
          <w:rFonts w:eastAsiaTheme="minorHAnsi"/>
          <w:sz w:val="26"/>
          <w:szCs w:val="26"/>
          <w:lang w:eastAsia="en-US"/>
        </w:rPr>
        <w:t>об электронном аукционе.</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Кроме того, закупаемые Заказчиком товарные позиции включены в КТРУ (</w:t>
      </w:r>
      <w:r>
        <w:rPr>
          <w:rFonts w:eastAsiaTheme="minorHAnsi"/>
          <w:sz w:val="26"/>
          <w:szCs w:val="26"/>
          <w:lang w:eastAsia="en-US"/>
        </w:rPr>
        <w:t xml:space="preserve">например </w:t>
      </w:r>
      <w:r w:rsidRPr="008D333B">
        <w:rPr>
          <w:rFonts w:eastAsiaTheme="minorHAnsi"/>
          <w:sz w:val="26"/>
          <w:szCs w:val="26"/>
          <w:lang w:eastAsia="en-US"/>
        </w:rPr>
        <w:t xml:space="preserve">код </w:t>
      </w:r>
      <w:r w:rsidR="00A6515C" w:rsidRPr="00A6515C">
        <w:rPr>
          <w:rFonts w:eastAsiaTheme="minorHAnsi"/>
          <w:sz w:val="26"/>
          <w:szCs w:val="26"/>
          <w:lang w:eastAsia="en-US"/>
        </w:rPr>
        <w:t>26.60.11.112</w:t>
      </w:r>
      <w:r w:rsidRPr="008D333B">
        <w:rPr>
          <w:rFonts w:eastAsiaTheme="minorHAnsi"/>
          <w:sz w:val="26"/>
          <w:szCs w:val="26"/>
          <w:lang w:eastAsia="en-US"/>
        </w:rPr>
        <w:t>), а, следовательно, Заказчик при их описании должен был руководствоваться описанием, содержащимся в каталоге.</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Вместе с тем, в силу п. 5 Правил использования КТРУ,  Заказчик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частью 5 статьи 33 Федерального закона,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Согласно п. 6 Правил использования КТРУ, в случае предоставления дополнительной информации, предусмотренной пунктом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8D333B" w:rsidRPr="008D333B" w:rsidRDefault="00A6515C" w:rsidP="00DC43B9">
      <w:pPr>
        <w:ind w:firstLine="709"/>
        <w:jc w:val="both"/>
        <w:rPr>
          <w:rFonts w:eastAsiaTheme="minorHAnsi"/>
          <w:sz w:val="26"/>
          <w:szCs w:val="26"/>
          <w:lang w:eastAsia="en-US"/>
        </w:rPr>
      </w:pPr>
      <w:r>
        <w:rPr>
          <w:rFonts w:eastAsiaTheme="minorHAnsi"/>
          <w:sz w:val="26"/>
          <w:szCs w:val="26"/>
          <w:lang w:eastAsia="en-US"/>
        </w:rPr>
        <w:t>Комиссия УФАС</w:t>
      </w:r>
      <w:r w:rsidRPr="00A6515C">
        <w:rPr>
          <w:rFonts w:eastAsiaTheme="minorHAnsi"/>
          <w:sz w:val="26"/>
          <w:szCs w:val="26"/>
          <w:lang w:eastAsia="en-US"/>
        </w:rPr>
        <w:t xml:space="preserve"> установлено, что вопреки доводам жалобы Заказчиком закупаются товары в соответствии с кодом ОКПД2 </w:t>
      </w:r>
      <w:r w:rsidRPr="00A6515C">
        <w:rPr>
          <w:rFonts w:eastAsiaTheme="minorHAnsi"/>
          <w:sz w:val="26"/>
          <w:szCs w:val="26"/>
          <w:lang w:eastAsia="en-US"/>
        </w:rPr>
        <w:t>26.60.11.112</w:t>
      </w:r>
      <w:r w:rsidRPr="00A6515C">
        <w:rPr>
          <w:rFonts w:eastAsiaTheme="minorHAnsi"/>
          <w:sz w:val="26"/>
          <w:szCs w:val="26"/>
          <w:lang w:eastAsia="en-US"/>
        </w:rPr>
        <w:t xml:space="preserve"> "Аппараты рентгеноскопические (флуороскопические)", при этом, как пояснил </w:t>
      </w:r>
      <w:r>
        <w:rPr>
          <w:rFonts w:eastAsiaTheme="minorHAnsi"/>
          <w:sz w:val="26"/>
          <w:szCs w:val="26"/>
          <w:lang w:eastAsia="en-US"/>
        </w:rPr>
        <w:t>на заседании Комиссии УФАС</w:t>
      </w:r>
      <w:r w:rsidRPr="00A6515C">
        <w:rPr>
          <w:rFonts w:eastAsiaTheme="minorHAnsi"/>
          <w:sz w:val="26"/>
          <w:szCs w:val="26"/>
          <w:lang w:eastAsia="en-US"/>
        </w:rPr>
        <w:t xml:space="preserve"> представитель Заказчика, </w:t>
      </w:r>
      <w:r w:rsidR="00DC43B9">
        <w:rPr>
          <w:rFonts w:eastAsiaTheme="minorHAnsi"/>
          <w:sz w:val="26"/>
          <w:szCs w:val="26"/>
          <w:lang w:eastAsia="en-US"/>
        </w:rPr>
        <w:t>для данного кода ОКПД описание характеристик товара отсутствует</w:t>
      </w:r>
      <w:r w:rsidRPr="00A6515C">
        <w:rPr>
          <w:rFonts w:eastAsiaTheme="minorHAnsi"/>
          <w:sz w:val="26"/>
          <w:szCs w:val="26"/>
          <w:lang w:eastAsia="en-US"/>
        </w:rPr>
        <w:t xml:space="preserve">, на основании чего объект закупки описан Заказчиком в соответствии с требованиями </w:t>
      </w:r>
      <w:hyperlink r:id="rId6" w:history="1">
        <w:r w:rsidRPr="00A6515C">
          <w:rPr>
            <w:rStyle w:val="a8"/>
            <w:rFonts w:eastAsiaTheme="minorHAnsi"/>
            <w:sz w:val="26"/>
            <w:szCs w:val="26"/>
            <w:lang w:eastAsia="en-US"/>
          </w:rPr>
          <w:t>ст. 33</w:t>
        </w:r>
      </w:hyperlink>
      <w:r w:rsidRPr="00A6515C">
        <w:rPr>
          <w:rFonts w:eastAsiaTheme="minorHAnsi"/>
          <w:sz w:val="26"/>
          <w:szCs w:val="26"/>
          <w:lang w:eastAsia="en-US"/>
        </w:rPr>
        <w:t xml:space="preserve"> Закона о контрактной системе.</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Следовательно, бремя доказывания при рассмотрении жалобы 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8D333B" w:rsidRP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t>Вместе с тем, в нарушение ч. 9 ст. 105 Закона о контрактной системе подателем жалобы не представлено доказательств, подтверждающих доводы Заявителя о том, что установленные Заказчиком требования к закупаемым товарам не обусловлены фактической потребностью Заказчика и необоснованно ограничивают количество участников закупки.</w:t>
      </w:r>
    </w:p>
    <w:p w:rsidR="008D333B" w:rsidRDefault="008D333B" w:rsidP="008D333B">
      <w:pPr>
        <w:ind w:firstLine="709"/>
        <w:jc w:val="both"/>
        <w:rPr>
          <w:rFonts w:eastAsiaTheme="minorHAnsi"/>
          <w:sz w:val="26"/>
          <w:szCs w:val="26"/>
          <w:lang w:eastAsia="en-US"/>
        </w:rPr>
      </w:pPr>
      <w:r w:rsidRPr="008D333B">
        <w:rPr>
          <w:rFonts w:eastAsiaTheme="minorHAnsi"/>
          <w:sz w:val="26"/>
          <w:szCs w:val="26"/>
          <w:lang w:eastAsia="en-US"/>
        </w:rPr>
        <w:lastRenderedPageBreak/>
        <w:t xml:space="preserve">В рассматриваемом случае, Комиссия УФАС не усматривает </w:t>
      </w:r>
      <w:r w:rsidRPr="008D333B">
        <w:rPr>
          <w:rFonts w:eastAsiaTheme="minorHAnsi"/>
          <w:sz w:val="26"/>
          <w:szCs w:val="26"/>
          <w:lang w:eastAsia="en-US"/>
        </w:rPr>
        <w:br/>
        <w:t>в действиях Заказчика признаков ограничения количества участников закупки.</w:t>
      </w:r>
    </w:p>
    <w:p w:rsidR="00DC43B9" w:rsidRDefault="00DC43B9" w:rsidP="009C45DA">
      <w:pPr>
        <w:pStyle w:val="a6"/>
        <w:spacing w:before="0" w:beforeAutospacing="0" w:after="0" w:afterAutospacing="0"/>
        <w:ind w:firstLine="720"/>
        <w:jc w:val="both"/>
        <w:rPr>
          <w:color w:val="000000"/>
          <w:sz w:val="26"/>
          <w:szCs w:val="26"/>
        </w:rPr>
      </w:pPr>
    </w:p>
    <w:p w:rsidR="009C45DA" w:rsidRPr="005133FF" w:rsidRDefault="009C45DA" w:rsidP="009C45DA">
      <w:pPr>
        <w:pStyle w:val="a6"/>
        <w:spacing w:before="0" w:beforeAutospacing="0" w:after="0" w:afterAutospacing="0"/>
        <w:ind w:firstLine="720"/>
        <w:jc w:val="both"/>
        <w:rPr>
          <w:color w:val="000000"/>
          <w:sz w:val="26"/>
          <w:szCs w:val="26"/>
        </w:rPr>
      </w:pPr>
      <w:r w:rsidRPr="005133FF">
        <w:rPr>
          <w:color w:val="000000"/>
          <w:sz w:val="26"/>
          <w:szCs w:val="26"/>
        </w:rPr>
        <w:t xml:space="preserve">Комиссия УФАС, руководствуясь ст. 8, </w:t>
      </w:r>
      <w:r w:rsidR="00045710" w:rsidRPr="005133FF">
        <w:rPr>
          <w:color w:val="000000"/>
          <w:sz w:val="26"/>
          <w:szCs w:val="26"/>
          <w:lang w:val="ru-RU"/>
        </w:rPr>
        <w:t xml:space="preserve">14, 31, </w:t>
      </w:r>
      <w:r w:rsidRPr="005133FF">
        <w:rPr>
          <w:color w:val="000000"/>
          <w:sz w:val="26"/>
          <w:szCs w:val="26"/>
        </w:rPr>
        <w:t xml:space="preserve">33, 34, 59, 64, 66, 99, </w:t>
      </w:r>
      <w:r w:rsidR="00045710" w:rsidRPr="005133FF">
        <w:rPr>
          <w:color w:val="000000"/>
          <w:sz w:val="26"/>
          <w:szCs w:val="26"/>
          <w:lang w:val="ru-RU"/>
        </w:rPr>
        <w:t xml:space="preserve">105, </w:t>
      </w:r>
      <w:r w:rsidRPr="005133FF">
        <w:rPr>
          <w:color w:val="000000"/>
          <w:sz w:val="26"/>
          <w:szCs w:val="26"/>
        </w:rPr>
        <w:t>106 Закона о контрактной системе, Административным регламентом,</w:t>
      </w:r>
    </w:p>
    <w:p w:rsidR="009C45DA" w:rsidRPr="005133FF" w:rsidRDefault="009C45DA" w:rsidP="009C45DA">
      <w:pPr>
        <w:pStyle w:val="a6"/>
        <w:spacing w:before="0" w:beforeAutospacing="0" w:after="0" w:afterAutospacing="0"/>
        <w:jc w:val="center"/>
        <w:rPr>
          <w:color w:val="000000"/>
          <w:sz w:val="26"/>
          <w:szCs w:val="26"/>
        </w:rPr>
      </w:pPr>
      <w:r w:rsidRPr="005133FF">
        <w:rPr>
          <w:color w:val="000000"/>
          <w:sz w:val="26"/>
          <w:szCs w:val="26"/>
        </w:rPr>
        <w:t xml:space="preserve"> </w:t>
      </w:r>
    </w:p>
    <w:p w:rsidR="009C45DA" w:rsidRPr="005133FF" w:rsidRDefault="009C45DA" w:rsidP="009C45DA">
      <w:pPr>
        <w:pStyle w:val="a6"/>
        <w:spacing w:before="0" w:beforeAutospacing="0" w:after="0" w:afterAutospacing="0"/>
        <w:jc w:val="center"/>
        <w:rPr>
          <w:color w:val="000000"/>
          <w:sz w:val="26"/>
          <w:szCs w:val="26"/>
        </w:rPr>
      </w:pPr>
      <w:r w:rsidRPr="005133FF">
        <w:rPr>
          <w:bCs/>
          <w:color w:val="000000"/>
          <w:sz w:val="26"/>
          <w:szCs w:val="26"/>
        </w:rPr>
        <w:t>РЕШИЛА:</w:t>
      </w:r>
    </w:p>
    <w:p w:rsidR="00904B57" w:rsidRPr="0054088C" w:rsidRDefault="00904B57" w:rsidP="00904B57">
      <w:pPr>
        <w:autoSpaceDE w:val="0"/>
        <w:autoSpaceDN w:val="0"/>
        <w:adjustRightInd w:val="0"/>
        <w:jc w:val="both"/>
        <w:outlineLvl w:val="1"/>
        <w:rPr>
          <w:color w:val="000000"/>
          <w:sz w:val="28"/>
          <w:szCs w:val="28"/>
        </w:rPr>
      </w:pPr>
    </w:p>
    <w:p w:rsidR="00904B57" w:rsidRPr="0054088C" w:rsidRDefault="00904B57" w:rsidP="00904B57">
      <w:pPr>
        <w:widowControl w:val="0"/>
        <w:shd w:val="clear" w:color="auto" w:fill="FFFFFF"/>
        <w:tabs>
          <w:tab w:val="left" w:pos="993"/>
        </w:tabs>
        <w:jc w:val="both"/>
        <w:rPr>
          <w:rFonts w:eastAsia="Calibri"/>
          <w:sz w:val="28"/>
          <w:szCs w:val="28"/>
          <w:lang w:val="x-none" w:eastAsia="x-none"/>
        </w:rPr>
      </w:pPr>
      <w:r w:rsidRPr="0054088C">
        <w:rPr>
          <w:rFonts w:eastAsia="Calibri"/>
          <w:sz w:val="28"/>
          <w:szCs w:val="28"/>
          <w:lang w:val="x-none" w:eastAsia="x-none"/>
        </w:rPr>
        <w:tab/>
        <w:t xml:space="preserve">Признать жалобу </w:t>
      </w:r>
      <w:r w:rsidR="00DC43B9" w:rsidRPr="00A6515C">
        <w:rPr>
          <w:iCs/>
          <w:sz w:val="26"/>
          <w:szCs w:val="26"/>
        </w:rPr>
        <w:t>ООО «Медлабком»</w:t>
      </w:r>
      <w:r w:rsidRPr="0054088C">
        <w:rPr>
          <w:rFonts w:eastAsia="Calibri"/>
          <w:sz w:val="28"/>
          <w:szCs w:val="28"/>
          <w:lang w:val="x-none" w:eastAsia="x-none"/>
        </w:rPr>
        <w:t xml:space="preserve"> </w:t>
      </w:r>
      <w:r w:rsidRPr="0054088C">
        <w:rPr>
          <w:rFonts w:eastAsia="Calibri"/>
          <w:sz w:val="28"/>
          <w:szCs w:val="28"/>
          <w:lang w:eastAsia="x-none"/>
        </w:rPr>
        <w:t>не</w:t>
      </w:r>
      <w:r w:rsidRPr="0054088C">
        <w:rPr>
          <w:rFonts w:eastAsia="Calibri"/>
          <w:sz w:val="28"/>
          <w:szCs w:val="28"/>
          <w:lang w:val="x-none" w:eastAsia="x-none"/>
        </w:rPr>
        <w:t xml:space="preserve">обоснованной. </w:t>
      </w:r>
    </w:p>
    <w:p w:rsidR="009C45DA" w:rsidRDefault="009C45DA" w:rsidP="009C45DA">
      <w:pPr>
        <w:rPr>
          <w:sz w:val="26"/>
          <w:szCs w:val="26"/>
        </w:rPr>
      </w:pPr>
    </w:p>
    <w:p w:rsidR="00685DA7" w:rsidRPr="005133FF" w:rsidRDefault="00685DA7" w:rsidP="009C45DA">
      <w:pPr>
        <w:rPr>
          <w:sz w:val="26"/>
          <w:szCs w:val="26"/>
        </w:rPr>
      </w:pPr>
      <w:bookmarkStart w:id="0" w:name="_GoBack"/>
      <w:bookmarkEnd w:id="0"/>
    </w:p>
    <w:p w:rsidR="009C45DA" w:rsidRPr="005133FF" w:rsidRDefault="009C45DA" w:rsidP="009C45DA">
      <w:pPr>
        <w:tabs>
          <w:tab w:val="left" w:pos="2700"/>
        </w:tabs>
        <w:ind w:firstLine="720"/>
        <w:jc w:val="both"/>
        <w:rPr>
          <w:sz w:val="26"/>
          <w:szCs w:val="26"/>
        </w:rPr>
      </w:pPr>
      <w:r w:rsidRPr="005133FF">
        <w:rPr>
          <w:i/>
          <w:sz w:val="26"/>
          <w:szCs w:val="26"/>
        </w:rPr>
        <w:t>Настоящее решение может быть обжаловано в судебном порядке в течение трёх месяцев со дня принятия</w:t>
      </w:r>
      <w:r w:rsidRPr="005133FF">
        <w:rPr>
          <w:sz w:val="26"/>
          <w:szCs w:val="26"/>
        </w:rPr>
        <w:t>.</w:t>
      </w:r>
    </w:p>
    <w:sectPr w:rsidR="009C45DA" w:rsidRPr="005133FF" w:rsidSect="002B62D2">
      <w:headerReference w:type="even" r:id="rId7"/>
      <w:headerReference w:type="default" r:id="rId8"/>
      <w:pgSz w:w="11906" w:h="16838"/>
      <w:pgMar w:top="1134" w:right="851" w:bottom="164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EA" w:rsidRDefault="005F11EA">
      <w:r>
        <w:separator/>
      </w:r>
    </w:p>
  </w:endnote>
  <w:endnote w:type="continuationSeparator" w:id="0">
    <w:p w:rsidR="005F11EA" w:rsidRDefault="005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EA" w:rsidRDefault="005F11EA">
      <w:r>
        <w:separator/>
      </w:r>
    </w:p>
  </w:footnote>
  <w:footnote w:type="continuationSeparator" w:id="0">
    <w:p w:rsidR="005F11EA" w:rsidRDefault="005F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63" w:rsidRDefault="00A509BA"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3063" w:rsidRDefault="00685D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63" w:rsidRDefault="00A509BA"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5DA7">
      <w:rPr>
        <w:rStyle w:val="a5"/>
        <w:noProof/>
      </w:rPr>
      <w:t>2</w:t>
    </w:r>
    <w:r>
      <w:rPr>
        <w:rStyle w:val="a5"/>
      </w:rPr>
      <w:fldChar w:fldCharType="end"/>
    </w:r>
  </w:p>
  <w:p w:rsidR="00EA3063" w:rsidRDefault="00685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22"/>
    <w:rsid w:val="00025BB3"/>
    <w:rsid w:val="00045710"/>
    <w:rsid w:val="00130639"/>
    <w:rsid w:val="001C66DB"/>
    <w:rsid w:val="00220089"/>
    <w:rsid w:val="0025261C"/>
    <w:rsid w:val="00330CA8"/>
    <w:rsid w:val="004F342A"/>
    <w:rsid w:val="00507E17"/>
    <w:rsid w:val="005133FF"/>
    <w:rsid w:val="005F11EA"/>
    <w:rsid w:val="00685DA7"/>
    <w:rsid w:val="0070774E"/>
    <w:rsid w:val="007115AA"/>
    <w:rsid w:val="00711C22"/>
    <w:rsid w:val="00797C80"/>
    <w:rsid w:val="007D45CC"/>
    <w:rsid w:val="008C75FB"/>
    <w:rsid w:val="008D333B"/>
    <w:rsid w:val="00904B57"/>
    <w:rsid w:val="009C45DA"/>
    <w:rsid w:val="00A338B8"/>
    <w:rsid w:val="00A509BA"/>
    <w:rsid w:val="00A6515C"/>
    <w:rsid w:val="00BA1139"/>
    <w:rsid w:val="00C46678"/>
    <w:rsid w:val="00D00734"/>
    <w:rsid w:val="00DC43B9"/>
    <w:rsid w:val="00DF5E58"/>
    <w:rsid w:val="00FC1BDC"/>
    <w:rsid w:val="00FD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19B6"/>
  <w15:chartTrackingRefBased/>
  <w15:docId w15:val="{9EB2B243-BBFE-4A5B-BFBA-5E9DC77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45DA"/>
    <w:pPr>
      <w:tabs>
        <w:tab w:val="center" w:pos="4677"/>
        <w:tab w:val="right" w:pos="9355"/>
      </w:tabs>
    </w:pPr>
  </w:style>
  <w:style w:type="character" w:customStyle="1" w:styleId="a4">
    <w:name w:val="Верхний колонтитул Знак"/>
    <w:basedOn w:val="a0"/>
    <w:link w:val="a3"/>
    <w:rsid w:val="009C45DA"/>
    <w:rPr>
      <w:rFonts w:ascii="Times New Roman" w:eastAsia="Times New Roman" w:hAnsi="Times New Roman" w:cs="Times New Roman"/>
      <w:sz w:val="24"/>
      <w:szCs w:val="24"/>
      <w:lang w:eastAsia="ru-RU"/>
    </w:rPr>
  </w:style>
  <w:style w:type="character" w:styleId="a5">
    <w:name w:val="page number"/>
    <w:basedOn w:val="a0"/>
    <w:rsid w:val="009C45DA"/>
  </w:style>
  <w:style w:type="paragraph" w:styleId="a6">
    <w:name w:val="Normal (Web)"/>
    <w:basedOn w:val="a"/>
    <w:link w:val="a7"/>
    <w:uiPriority w:val="99"/>
    <w:unhideWhenUsed/>
    <w:rsid w:val="009C45DA"/>
    <w:pPr>
      <w:spacing w:before="100" w:beforeAutospacing="1" w:after="100" w:afterAutospacing="1"/>
    </w:pPr>
    <w:rPr>
      <w:lang w:val="x-none" w:eastAsia="x-none"/>
    </w:rPr>
  </w:style>
  <w:style w:type="character" w:customStyle="1" w:styleId="a7">
    <w:name w:val="Обычный (веб) Знак"/>
    <w:link w:val="a6"/>
    <w:uiPriority w:val="99"/>
    <w:locked/>
    <w:rsid w:val="009C45DA"/>
    <w:rPr>
      <w:rFonts w:ascii="Times New Roman" w:eastAsia="Times New Roman" w:hAnsi="Times New Roman" w:cs="Times New Roman"/>
      <w:sz w:val="24"/>
      <w:szCs w:val="24"/>
      <w:lang w:val="x-none" w:eastAsia="x-none"/>
    </w:rPr>
  </w:style>
  <w:style w:type="character" w:styleId="a8">
    <w:name w:val="Hyperlink"/>
    <w:basedOn w:val="a0"/>
    <w:uiPriority w:val="99"/>
    <w:unhideWhenUsed/>
    <w:rsid w:val="00A65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59EBA8518B4405FD85BE22DF274F7864F211AE81FBCB678E514D3BD48F3E44D08047C5C5DD4F04F1A2A16CB5DB017E0EE91C5DA598311FpAC9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Алыбин Юрий Александрович</cp:lastModifiedBy>
  <cp:revision>2</cp:revision>
  <dcterms:created xsi:type="dcterms:W3CDTF">2021-10-27T13:11:00Z</dcterms:created>
  <dcterms:modified xsi:type="dcterms:W3CDTF">2021-10-27T13:11:00Z</dcterms:modified>
</cp:coreProperties>
</file>