
<file path=[Content_Types].xml><?xml version="1.0" encoding="utf-8"?>
<Types xmlns="http://schemas.openxmlformats.org/package/2006/content-types">
  <Default Extension="rels" ContentType="application/vnd.openxmlformats-package.relationships+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&#65279;<?xml version="1.0" encoding="utf-8"?><Relationships xmlns="http://schemas.openxmlformats.org/package/2006/relationships"><Relationship Id="R4B38D6F1" Type="http://schemas.openxmlformats.org/officeDocument/2006/relationships/officeDocument" Target="/word/document.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widowControl w:val="0"/>
        <w:spacing w:lineRule="auto" w:line="278" w:beforeAutospacing="0" w:afterAutospacing="0"/>
        <w:jc w:val="center"/>
        <w:rPr>
          <w:sz w:val="28"/>
        </w:rPr>
      </w:pPr>
      <w:r>
        <w:rPr>
          <w:sz w:val="28"/>
        </w:rPr>
        <w:t>ПРЕДПИСАНИЕ</w:t>
      </w:r>
    </w:p>
    <w:p>
      <w:pPr>
        <w:widowControl w:val="0"/>
        <w:spacing w:lineRule="auto" w:line="278" w:beforeAutospacing="0" w:afterAutospacing="0"/>
        <w:jc w:val="center"/>
        <w:rPr>
          <w:sz w:val="28"/>
        </w:rPr>
      </w:pPr>
      <w:r>
        <w:rPr>
          <w:sz w:val="28"/>
        </w:rPr>
        <w:t xml:space="preserve">по делу № 21/44/105/154 об устранении нарушения </w:t>
      </w:r>
    </w:p>
    <w:p>
      <w:pPr>
        <w:widowControl w:val="0"/>
        <w:spacing w:lineRule="auto" w:line="278" w:beforeAutospacing="0" w:afterAutospacing="0"/>
        <w:jc w:val="center"/>
        <w:rPr>
          <w:sz w:val="28"/>
        </w:rPr>
      </w:pPr>
      <w:r>
        <w:rPr>
          <w:sz w:val="28"/>
        </w:rPr>
        <w:t xml:space="preserve">законодательства Российской Федерации </w:t>
      </w:r>
    </w:p>
    <w:p>
      <w:pPr>
        <w:widowControl w:val="0"/>
        <w:spacing w:lineRule="auto" w:line="278" w:beforeAutospacing="0" w:afterAutospacing="0"/>
        <w:jc w:val="center"/>
        <w:rPr>
          <w:sz w:val="28"/>
        </w:rPr>
      </w:pPr>
      <w:r>
        <w:rPr>
          <w:sz w:val="28"/>
        </w:rPr>
        <w:t>о контрактной системе в сфере закупок</w:t>
      </w:r>
    </w:p>
    <w:tbl>
      <w:tblPr>
        <w:tblW w:w="9640" w:type="dxa"/>
        <w:tblInd w:w="-176" w:type="dxa"/>
        <w:tblLayout w:type="fixed"/>
        <w:tblLook w:val="04A0"/>
      </w:tblPr>
      <w:tblGrid/>
      <w:tr>
        <w:tc>
          <w:tcPr>
            <w:tcW w:w="4678" w:type="dxa"/>
            <w:hideMark/>
          </w:tcPr>
          <w:p>
            <w:pPr>
              <w:widowControl w:val="0"/>
              <w:spacing w:lineRule="auto" w:line="278" w:beforeAutospacing="0" w:afterAutospacing="0"/>
              <w:ind w:left="176"/>
              <w:rPr>
                <w:sz w:val="28"/>
              </w:rPr>
            </w:pPr>
            <w:r>
              <w:rPr>
                <w:sz w:val="28"/>
              </w:rPr>
              <w:t>17.02.2021</w:t>
            </w:r>
          </w:p>
        </w:tc>
        <w:tc>
          <w:tcPr>
            <w:tcW w:w="4962" w:type="dxa"/>
            <w:hideMark/>
          </w:tcPr>
          <w:p>
            <w:pPr>
              <w:widowControl w:val="0"/>
              <w:spacing w:lineRule="auto" w:line="278" w:beforeAutospacing="0" w:afterAutospacing="0"/>
              <w:ind w:right="-72"/>
              <w:jc w:val="right"/>
              <w:rPr>
                <w:sz w:val="28"/>
              </w:rPr>
            </w:pPr>
            <w:r>
              <w:rPr>
                <w:sz w:val="28"/>
              </w:rPr>
              <w:t>Москва</w:t>
            </w:r>
          </w:p>
        </w:tc>
      </w:tr>
      <w:tr>
        <w:tc>
          <w:tcPr>
            <w:tcW w:w="4678" w:type="dxa"/>
          </w:tcPr>
          <w:p>
            <w:pPr>
              <w:widowControl w:val="0"/>
              <w:spacing w:lineRule="auto" w:line="276" w:beforeAutospacing="0" w:afterAutospacing="0"/>
              <w:ind w:firstLine="567"/>
              <w:rPr>
                <w:sz w:val="28"/>
              </w:rPr>
            </w:pPr>
          </w:p>
        </w:tc>
        <w:tc>
          <w:tcPr>
            <w:tcW w:w="4962" w:type="dxa"/>
          </w:tcPr>
          <w:p>
            <w:pPr>
              <w:widowControl w:val="0"/>
              <w:spacing w:lineRule="auto" w:line="276" w:beforeAutospacing="0" w:afterAutospacing="0"/>
              <w:ind w:firstLine="567"/>
              <w:jc w:val="right"/>
              <w:rPr>
                <w:sz w:val="28"/>
              </w:rPr>
            </w:pPr>
          </w:p>
        </w:tc>
      </w:tr>
    </w:tbl>
    <w:p>
      <w:pPr>
        <w:spacing w:lineRule="exact" w:line="400" w:beforeAutospacing="0" w:afterAutospacing="0"/>
        <w:ind w:firstLine="709"/>
        <w:jc w:val="both"/>
        <w:rPr>
          <w:sz w:val="28"/>
        </w:rPr>
      </w:pPr>
      <w:r>
        <w:rPr>
          <w:sz w:val="28"/>
        </w:rPr>
        <w:t xml:space="preserve">Комиссия Федеральной антимонопольной службы по контролю в сфере закупок (далее – Комиссия) </w:t>
      </w:r>
      <w:r>
        <w:rPr>
          <w:sz w:val="28"/>
        </w:rPr>
        <w:t>на основании решения от 17.02.2021 по делу № 21/44/105/154</w:t>
      </w:r>
      <w:r>
        <w:rPr>
          <w:strike w:val="0"/>
          <w:color w:val="000000"/>
          <w:sz w:val="28"/>
        </w:rPr>
        <w:t>,</w:t>
      </w:r>
      <w:r>
        <w:rPr>
          <w:strike w:val="0"/>
          <w:color w:val="000000"/>
          <w:sz w:val="28"/>
          <w:lang w:val="ru-RU" w:bidi="ru-RU" w:eastAsia="ru-RU"/>
        </w:rPr>
        <w:t xml:space="preserve"> </w:t>
      </w:r>
      <w:r>
        <w:rPr>
          <w:sz w:val="28"/>
        </w:rPr>
        <w:t xml:space="preserve">принятого Комиссией по итогам рассмотрения посредством системы                  видео-конференц-связи жалобы </w:t>
      </w:r>
      <w:r>
        <w:rPr>
          <w:color w:val="000000"/>
          <w:sz w:val="28"/>
        </w:rPr>
        <w:t xml:space="preserve">ООО «ГрейтСтрой» </w:t>
      </w:r>
      <w:r>
        <w:rPr>
          <w:sz w:val="28"/>
        </w:rPr>
        <w:t xml:space="preserve">(далее – Заявитель) на действия  конкурсной комиссии </w:t>
      </w:r>
      <w:r>
        <w:rPr>
          <w:color w:val="000000"/>
          <w:sz w:val="28"/>
        </w:rPr>
        <w:t>МКУ «УКС Богородского муниципального района Нижегородской области»</w:t>
      </w:r>
      <w:r>
        <w:rPr>
          <w:sz w:val="28"/>
          <w:lang w:eastAsia="ar-SA"/>
        </w:rPr>
        <w:t xml:space="preserve"> (далее – Конкурсная комиссия)</w:t>
      </w:r>
      <w:r>
        <w:rPr>
          <w:color w:val="000000"/>
          <w:sz w:val="28"/>
        </w:rPr>
        <w:t xml:space="preserve"> </w:t>
      </w:r>
      <w:r>
        <w:rPr>
          <w:sz w:val="28"/>
          <w:lang w:eastAsia="ar-SA"/>
        </w:rPr>
        <w:t xml:space="preserve">при проведении </w:t>
      </w:r>
      <w:r>
        <w:rPr>
          <w:color w:val="000000"/>
          <w:sz w:val="28"/>
        </w:rPr>
        <w:t>МКУ «УКС Богородского муниципального района Нижегородской области»</w:t>
      </w:r>
      <w:r>
        <w:rPr>
          <w:sz w:val="28"/>
          <w:lang w:eastAsia="ar-SA"/>
        </w:rPr>
        <w:t xml:space="preserve"> (далее – Заказчик), Конкурсной комиссией</w:t>
      </w:r>
      <w:r>
        <w:rPr>
          <w:color w:val="000000"/>
          <w:sz w:val="28"/>
        </w:rPr>
        <w:t>,</w:t>
      </w:r>
      <w:r>
        <w:rPr>
          <w:rStyle w:val="C9"/>
          <w:sz w:val="28"/>
        </w:rPr>
        <w:t xml:space="preserve"> </w:t>
      </w:r>
      <w:r>
        <w:rPr>
          <w:color w:val="000000"/>
          <w:sz w:val="28"/>
        </w:rPr>
        <w:t>АО «ЕЭТП</w:t>
      </w:r>
      <w:r>
        <w:rPr>
          <w:sz w:val="28"/>
        </w:rPr>
        <w:t>»</w:t>
      </w:r>
      <w:r>
        <w:rPr>
          <w:sz w:val="28"/>
          <w:lang w:eastAsia="ar-SA"/>
        </w:rPr>
        <w:t xml:space="preserve"> (далее – Оператор электронной площадки) </w:t>
      </w:r>
      <w:r>
        <w:rPr>
          <w:sz w:val="28"/>
        </w:rPr>
        <w:t xml:space="preserve">открытого конкурса в электронной форме на проведение работ по строительству, реконструкции, капитальному ремонту, сносу объекта капитального строительства, предусматривающих проектную документацию или экономически эффективную проектную документацию повторного использования, или смету на капитальный ремонт объекта капитального строительства, утвержденную в порядке, установленном законодательством о градостроительной деятельности на право заключения государственного контракта на </w:t>
      </w:r>
      <w:r>
        <w:rPr>
          <w:sz w:val="28"/>
          <w:shd w:val="clear" w:fill="FFFFFF"/>
        </w:rPr>
        <w:t xml:space="preserve">выполнение работ по </w:t>
      </w:r>
      <w:r>
        <w:rPr>
          <w:rStyle w:val="C9"/>
          <w:sz w:val="28"/>
        </w:rPr>
        <w:t xml:space="preserve">«Проекту развития централизованной системы водоотведения города Богородска и  Богородского муниципального района Нижегородской области. 1 этап - Реконструкция очистных сооружений                               г. Богородска производительностью 15 000 м3/сут.»</w:t>
      </w:r>
      <w:r>
        <w:rPr>
          <w:noProof w:val="1"/>
          <w:sz w:val="28"/>
        </w:rPr>
        <w:t xml:space="preserve"> (номер извещения</w:t>
      </w:r>
      <w:r>
        <w:rPr>
          <w:sz w:val="28"/>
        </w:rPr>
        <w:t xml:space="preserve"> </w:t>
      </w:r>
      <w:r>
        <w:rPr>
          <w:noProof w:val="1"/>
          <w:sz w:val="28"/>
        </w:rPr>
        <w:t>в единой информационной системе в сфере закупок www.zakupki.gov.ru (далее – ЕИС) –</w:t>
      </w:r>
      <w:r>
        <w:rPr>
          <w:sz w:val="28"/>
        </w:rPr>
        <w:t xml:space="preserve"> </w:t>
      </w:r>
      <w:r>
        <w:rPr>
          <w:sz w:val="28"/>
          <w:shd w:val="clear" w:fill="FFFFFF"/>
        </w:rPr>
        <w:t>0332300220720000203</w:t>
      </w:r>
      <w:r>
        <w:rPr>
          <w:noProof w:val="1"/>
          <w:sz w:val="28"/>
        </w:rPr>
        <w:t>) (далее – Конкурс</w:t>
      </w:r>
      <w:r>
        <w:rPr>
          <w:sz w:val="28"/>
        </w:rPr>
        <w:t xml:space="preserve">),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widowControl w:val="0"/>
        <w:tabs>
          <w:tab w:val="left" w:pos="0" w:leader="none"/>
        </w:tabs>
        <w:spacing w:lineRule="exact" w:line="400" w:beforeAutospacing="0" w:afterAutospacing="0"/>
        <w:ind w:firstLine="709"/>
        <w:jc w:val="both"/>
        <w:rPr>
          <w:sz w:val="28"/>
        </w:rPr>
      </w:pPr>
    </w:p>
    <w:p>
      <w:pPr>
        <w:widowControl w:val="0"/>
        <w:tabs>
          <w:tab w:val="left" w:pos="0" w:leader="none"/>
        </w:tabs>
        <w:spacing w:lineRule="exact" w:line="400" w:beforeAutospacing="0" w:afterAutospacing="0"/>
        <w:ind w:firstLine="709"/>
        <w:jc w:val="both"/>
        <w:rPr>
          <w:sz w:val="28"/>
        </w:rPr>
      </w:pPr>
    </w:p>
    <w:p>
      <w:pPr>
        <w:spacing w:lineRule="exact" w:line="400" w:beforeAutospacing="0" w:afterAutospacing="0"/>
        <w:ind w:firstLine="709"/>
        <w:jc w:val="center"/>
        <w:rPr>
          <w:sz w:val="28"/>
        </w:rPr>
      </w:pPr>
    </w:p>
    <w:p>
      <w:pPr>
        <w:spacing w:lineRule="exact" w:line="400" w:beforeAutospacing="0" w:afterAutospacing="0"/>
        <w:ind w:firstLine="709"/>
        <w:jc w:val="center"/>
        <w:rPr>
          <w:sz w:val="28"/>
        </w:rPr>
      </w:pPr>
      <w:r>
        <w:rPr>
          <w:sz w:val="28"/>
        </w:rPr>
        <w:t>ПРЕДПИСЫВАЕТ:</w:t>
      </w:r>
    </w:p>
    <w:p>
      <w:pPr>
        <w:spacing w:lineRule="exact" w:line="400" w:beforeAutospacing="0" w:afterAutospacing="0"/>
        <w:ind w:firstLine="709"/>
        <w:jc w:val="center"/>
        <w:rPr>
          <w:sz w:val="28"/>
        </w:rPr>
      </w:pPr>
    </w:p>
    <w:p>
      <w:pPr>
        <w:numPr>
          <w:ilvl w:val="0"/>
          <w:numId w:val="4"/>
        </w:numPr>
        <w:spacing w:lineRule="exact" w:line="400" w:beforeAutospacing="0" w:afterAutospacing="0"/>
        <w:ind w:firstLine="709" w:left="0"/>
        <w:jc w:val="both"/>
        <w:rPr>
          <w:sz w:val="28"/>
        </w:rPr>
      </w:pPr>
      <w:r>
        <w:rPr>
          <w:sz w:val="28"/>
        </w:rPr>
        <w:t xml:space="preserve">Заказчику, Конкурсной комиссии, Оператору электронной площадки отменить протокол рассмотрения и оценки вторых частей заявок на участие в открытом конкурсе в электронной форме от 08.02.2021 № ПРОII1,                         п</w:t>
      </w:r>
      <w:r>
        <w:rPr>
          <w:rStyle w:val="C2"/>
          <w:color w:val="000000"/>
          <w:sz w:val="28"/>
          <w:u w:val="none"/>
        </w:rPr>
        <w:t xml:space="preserve">ротокол </w:t>
      </w:r>
      <w:r>
        <w:rPr>
          <w:sz w:val="28"/>
        </w:rPr>
        <w:t xml:space="preserve">подведения итогов открытого конкурса в электронной форме                              от 09.02.2021 № ППИ1 (далее – Протоколы) и назначить новую дату рассмотрения вторых частей заявок на участие в Конкурсе. При этом дата рассмотрения вторых частей заявок на участие в Конкурсе должна быть назначена не ранее чем через 6 дней с даты отмены Протоколов. </w:t>
      </w:r>
    </w:p>
    <w:p>
      <w:pPr>
        <w:numPr>
          <w:ilvl w:val="0"/>
          <w:numId w:val="4"/>
        </w:numPr>
        <w:spacing w:lineRule="exact" w:line="400" w:beforeAutospacing="0" w:afterAutospacing="0"/>
        <w:ind w:firstLine="709" w:left="0"/>
        <w:jc w:val="both"/>
        <w:rPr>
          <w:sz w:val="28"/>
        </w:rPr>
      </w:pPr>
      <w:r>
        <w:rPr>
          <w:sz w:val="28"/>
        </w:rPr>
        <w:t xml:space="preserve">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Конкурсе об отмене Протоколов, о новой дате рассмотрения вторых частей заявок на участие в Конкурсе, а также о необходимости наличия на счетах для проведения операций по обеспечению участия в аукционах в электронной форме, открытых участникам закупки, денежных средств в размере обеспечения заявки на участие в Конкурсе, о блокировании операций в отношении указанных средств, в случае если в их отношении блокирование прекращено или если срок действия банковской гарантии, представленной в качестве обеспечения заявки, истек.  </w:t>
      </w:r>
    </w:p>
    <w:p>
      <w:pPr>
        <w:numPr>
          <w:ilvl w:val="0"/>
          <w:numId w:val="4"/>
        </w:numPr>
        <w:spacing w:lineRule="exact" w:line="400" w:beforeAutospacing="0" w:afterAutospacing="0"/>
        <w:ind w:firstLine="709" w:left="0"/>
        <w:jc w:val="both"/>
        <w:rPr>
          <w:sz w:val="28"/>
        </w:rPr>
      </w:pPr>
      <w:r>
        <w:rPr>
          <w:sz w:val="28"/>
        </w:rPr>
        <w:t>Оператору электронной площадки через 4 рабочих дня со дня направления Оператором электронной площадки уведомления, указанного в пункте 2 настоящего предписания, осуществить блокирование операций по счетам для проведения операций по обеспечению участия в аукционах в электронной форме, открытых участникам закупки, в отношении денежных средств в размере обеспечения заявки на участие в Конкурсе или если срок действия банковской гарантии, представленной в качестве обеспечения заявки, истек.</w:t>
      </w:r>
    </w:p>
    <w:p>
      <w:pPr>
        <w:numPr>
          <w:ilvl w:val="0"/>
          <w:numId w:val="4"/>
        </w:numPr>
        <w:spacing w:lineRule="exact" w:line="400" w:beforeAutospacing="0" w:afterAutospacing="0"/>
        <w:ind w:firstLine="709" w:left="0"/>
        <w:jc w:val="both"/>
        <w:rPr>
          <w:sz w:val="28"/>
        </w:rPr>
      </w:pPr>
      <w:r>
        <w:rPr>
          <w:sz w:val="28"/>
        </w:rPr>
        <w:t xml:space="preserve">Конкурсной комиссии в срок, установленный в соответствии с пунктом 1 настоящего предписания, рассмотреть вторые части заявок, поданные участниками закупки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от 17.02.2021 по делу № 21/44/105/154.</w:t>
      </w:r>
    </w:p>
    <w:p>
      <w:pPr>
        <w:numPr>
          <w:ilvl w:val="0"/>
          <w:numId w:val="4"/>
        </w:numPr>
        <w:spacing w:lineRule="exact" w:line="400" w:beforeAutospacing="0" w:afterAutospacing="0"/>
        <w:ind w:firstLine="709" w:left="0"/>
        <w:jc w:val="both"/>
        <w:rPr>
          <w:sz w:val="28"/>
        </w:rPr>
      </w:pPr>
      <w:r>
        <w:rPr>
          <w:sz w:val="28"/>
        </w:rPr>
        <w:t>Заказчику, Конкурсной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17.02.2021 по делу № 21/44/105/154.</w:t>
      </w:r>
    </w:p>
    <w:p>
      <w:pPr>
        <w:numPr>
          <w:ilvl w:val="0"/>
          <w:numId w:val="4"/>
        </w:numPr>
        <w:spacing w:lineRule="exact" w:line="400" w:beforeAutospacing="0" w:afterAutospacing="0"/>
        <w:ind w:firstLine="709" w:left="0"/>
        <w:jc w:val="both"/>
        <w:rPr>
          <w:sz w:val="28"/>
        </w:rPr>
      </w:pPr>
      <w:r>
        <w:rPr>
          <w:sz w:val="28"/>
        </w:rPr>
        <w:t>Заказчику, Конкурсной комиссии, Оператору электронной площадки в срок до 04.03</w:t>
      </w:r>
      <w:bookmarkStart w:id="0" w:name="_GoBack"/>
      <w:bookmarkEnd w:id="0"/>
      <w:r>
        <w:rPr>
          <w:sz w:val="28"/>
        </w:rPr>
        <w:t xml:space="preserve">.2021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(499) 755-23-24, а также электронной почте predpisanie44@fas.gov.ru.</w:t>
      </w:r>
    </w:p>
    <w:p>
      <w:pPr>
        <w:spacing w:lineRule="auto" w:line="276" w:beforeAutospacing="0" w:afterAutospacing="0"/>
        <w:ind w:firstLine="567"/>
        <w:jc w:val="both"/>
        <w:rPr>
          <w:sz w:val="28"/>
        </w:rPr>
      </w:pPr>
    </w:p>
    <w:p>
      <w:pPr>
        <w:spacing w:lineRule="auto" w:line="276" w:beforeAutospacing="0" w:afterAutospacing="0"/>
        <w:ind w:firstLine="567"/>
        <w:jc w:val="both"/>
        <w:rPr>
          <w:sz w:val="28"/>
        </w:rPr>
      </w:pPr>
      <w:r>
        <w:rPr>
          <w:sz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spacing w:lineRule="auto" w:line="276" w:beforeAutospacing="0" w:afterAutospacing="0"/>
        <w:ind w:firstLine="567"/>
        <w:jc w:val="both"/>
        <w:rPr>
          <w:sz w:val="28"/>
        </w:rPr>
      </w:pPr>
      <w:r>
        <w:rPr>
          <w:sz w:val="28"/>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p>
      <w:pPr>
        <w:rPr>
          <w:sz w:val="20"/>
        </w:rPr>
      </w:pPr>
    </w:p>
    <w:sectPr>
      <w:headerReference xmlns:r="http://schemas.openxmlformats.org/officeDocument/2006/relationships" w:type="default" r:id="RelHdr1"/>
      <w:type w:val="nextPage"/>
      <w:pgSz w:w="11906" w:h="16838" w:code="0"/>
      <w:pgMar w:left="1276" w:right="850" w:top="1134" w:bottom="1134" w:header="708" w:footer="708" w:gutter="0"/>
      <w:titlePg w:val="1"/>
    </w:sectPr>
  </w:body>
</w:document>
</file>

<file path=word/header1.xml><?xml version="1.0" encoding="utf-8"?>
<w:hd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p>
    <w:pPr>
      <w:pStyle w:val="P1"/>
      <w:jc w:val="center"/>
    </w:pPr>
    <w:r>
      <w:fldChar w:fldCharType="begin"/>
    </w:r>
    <w:r>
      <w:instrText xml:space="preserve">PAGE   \* MERGEFORMAT</w:instrText>
    </w:r>
    <w:r>
      <w:fldChar w:fldCharType="separate"/>
    </w:r>
    <w:r>
      <w:rPr>
        <w:noProof w:val="1"/>
      </w:rPr>
      <w:t>#</w:t>
    </w:r>
    <w:r>
      <w:fldChar w:fldCharType="end"/>
    </w:r>
  </w:p>
  <w:p>
    <w:pPr>
      <w:pStyle w:val="P1"/>
    </w:pPr>
  </w:p>
</w:hdr>
</file>

<file path=word/numbering.xml><?xml version="1.0" encoding="utf-8"?>
<w:numbering xmlns:w="http://schemas.openxmlformats.org/wordprocessingml/2006/main">
  <w:abstractNum w:abstractNumId="0">
    <w:nsid w:val="164E549D"/>
    <w:multiLevelType w:val="multilevel"/>
    <w:lvl w:ilvl="0">
      <w:start w:val="1"/>
      <w:numFmt w:val="decimal"/>
      <w:suff w:val="tab"/>
      <w:lvlText w:val="%1."/>
      <w:lvlJc w:val="left"/>
      <w:pPr>
        <w:ind w:hanging="840" w:left="1407"/>
      </w:pPr>
      <w:rPr/>
    </w:lvl>
    <w:lvl w:ilvl="1">
      <w:start w:val="1"/>
      <w:numFmt w:val="decimal"/>
      <w:isLgl w:val="1"/>
      <w:suff w:val="tab"/>
      <w:lvlText w:val="%1.%2"/>
      <w:lvlJc w:val="left"/>
      <w:pPr>
        <w:ind w:hanging="375" w:left="942"/>
      </w:pPr>
      <w:rPr/>
    </w:lvl>
    <w:lvl w:ilvl="2">
      <w:start w:val="1"/>
      <w:numFmt w:val="decimal"/>
      <w:isLgl w:val="1"/>
      <w:suff w:val="tab"/>
      <w:lvlText w:val="%1.%2.%3"/>
      <w:lvlJc w:val="left"/>
      <w:pPr>
        <w:ind w:hanging="720" w:left="1287"/>
      </w:pPr>
      <w:rPr/>
    </w:lvl>
    <w:lvl w:ilvl="3">
      <w:start w:val="1"/>
      <w:numFmt w:val="decimal"/>
      <w:isLgl w:val="1"/>
      <w:suff w:val="tab"/>
      <w:lvlText w:val="%1.%2.%3.%4"/>
      <w:lvlJc w:val="left"/>
      <w:pPr>
        <w:ind w:hanging="1080" w:left="1647"/>
      </w:pPr>
      <w:rPr/>
    </w:lvl>
    <w:lvl w:ilvl="4">
      <w:start w:val="1"/>
      <w:numFmt w:val="decimal"/>
      <w:isLgl w:val="1"/>
      <w:suff w:val="tab"/>
      <w:lvlText w:val="%1.%2.%3.%4.%5"/>
      <w:lvlJc w:val="left"/>
      <w:pPr>
        <w:ind w:hanging="1080" w:left="1647"/>
      </w:pPr>
      <w:rPr/>
    </w:lvl>
    <w:lvl w:ilvl="5">
      <w:start w:val="1"/>
      <w:numFmt w:val="decimal"/>
      <w:isLgl w:val="1"/>
      <w:suff w:val="tab"/>
      <w:lvlText w:val="%1.%2.%3.%4.%5.%6"/>
      <w:lvlJc w:val="left"/>
      <w:pPr>
        <w:ind w:hanging="1440" w:left="2007"/>
      </w:pPr>
      <w:rPr/>
    </w:lvl>
    <w:lvl w:ilvl="6">
      <w:start w:val="1"/>
      <w:numFmt w:val="decimal"/>
      <w:isLgl w:val="1"/>
      <w:suff w:val="tab"/>
      <w:lvlText w:val="%1.%2.%3.%4.%5.%6.%7"/>
      <w:lvlJc w:val="left"/>
      <w:pPr>
        <w:ind w:hanging="1440" w:left="2007"/>
      </w:pPr>
      <w:rPr/>
    </w:lvl>
    <w:lvl w:ilvl="7">
      <w:start w:val="1"/>
      <w:numFmt w:val="decimal"/>
      <w:isLgl w:val="1"/>
      <w:suff w:val="tab"/>
      <w:lvlText w:val="%1.%2.%3.%4.%5.%6.%7.%8"/>
      <w:lvlJc w:val="left"/>
      <w:pPr>
        <w:ind w:hanging="1800" w:left="2367"/>
      </w:pPr>
      <w:rPr/>
    </w:lvl>
    <w:lvl w:ilvl="8">
      <w:start w:val="1"/>
      <w:numFmt w:val="decimal"/>
      <w:isLgl w:val="1"/>
      <w:suff w:val="tab"/>
      <w:lvlText w:val="%1.%2.%3.%4.%5.%6.%7.%8.%9"/>
      <w:lvlJc w:val="left"/>
      <w:pPr>
        <w:ind w:hanging="2160" w:left="2727"/>
      </w:pPr>
      <w:rPr/>
    </w:lvl>
  </w:abstractNum>
  <w:abstractNum w:abstractNumId="1">
    <w:nsid w:val="1DC96F2A"/>
    <w:multiLevelType w:val="multilevel"/>
    <w:lvl w:ilvl="0">
      <w:start w:val="1"/>
      <w:numFmt w:val="decimal"/>
      <w:suff w:val="tab"/>
      <w:lvlText w:val="%1."/>
      <w:lvlJc w:val="left"/>
      <w:pPr>
        <w:ind w:hanging="360" w:left="927"/>
      </w:pPr>
      <w:rPr/>
    </w:lvl>
    <w:lvl w:ilvl="1">
      <w:start w:val="1"/>
      <w:numFmt w:val="decimal"/>
      <w:isLgl w:val="1"/>
      <w:suff w:val="tab"/>
      <w:lvlText w:val="%1.%2"/>
      <w:lvlJc w:val="left"/>
      <w:pPr>
        <w:ind w:hanging="600" w:left="1167"/>
      </w:pPr>
      <w:rPr/>
    </w:lvl>
    <w:lvl w:ilvl="2">
      <w:start w:val="3"/>
      <w:numFmt w:val="decimal"/>
      <w:isLgl w:val="1"/>
      <w:suff w:val="tab"/>
      <w:lvlText w:val="%1.%2.%3"/>
      <w:lvlJc w:val="left"/>
      <w:pPr>
        <w:ind w:hanging="720" w:left="1287"/>
      </w:pPr>
      <w:rPr/>
    </w:lvl>
    <w:lvl w:ilvl="3">
      <w:start w:val="1"/>
      <w:numFmt w:val="decimal"/>
      <w:isLgl w:val="1"/>
      <w:suff w:val="tab"/>
      <w:lvlText w:val="%1.%2.%3.%4"/>
      <w:lvlJc w:val="left"/>
      <w:pPr>
        <w:ind w:hanging="1080" w:left="1647"/>
      </w:pPr>
      <w:rPr/>
    </w:lvl>
    <w:lvl w:ilvl="4">
      <w:start w:val="1"/>
      <w:numFmt w:val="decimal"/>
      <w:isLgl w:val="1"/>
      <w:suff w:val="tab"/>
      <w:lvlText w:val="%1.%2.%3.%4.%5"/>
      <w:lvlJc w:val="left"/>
      <w:pPr>
        <w:ind w:hanging="1080" w:left="1647"/>
      </w:pPr>
      <w:rPr/>
    </w:lvl>
    <w:lvl w:ilvl="5">
      <w:start w:val="1"/>
      <w:numFmt w:val="decimal"/>
      <w:isLgl w:val="1"/>
      <w:suff w:val="tab"/>
      <w:lvlText w:val="%1.%2.%3.%4.%5.%6"/>
      <w:lvlJc w:val="left"/>
      <w:pPr>
        <w:ind w:hanging="1440" w:left="2007"/>
      </w:pPr>
      <w:rPr/>
    </w:lvl>
    <w:lvl w:ilvl="6">
      <w:start w:val="1"/>
      <w:numFmt w:val="decimal"/>
      <w:isLgl w:val="1"/>
      <w:suff w:val="tab"/>
      <w:lvlText w:val="%1.%2.%3.%4.%5.%6.%7"/>
      <w:lvlJc w:val="left"/>
      <w:pPr>
        <w:ind w:hanging="1440" w:left="2007"/>
      </w:pPr>
      <w:rPr/>
    </w:lvl>
    <w:lvl w:ilvl="7">
      <w:start w:val="1"/>
      <w:numFmt w:val="decimal"/>
      <w:isLgl w:val="1"/>
      <w:suff w:val="tab"/>
      <w:lvlText w:val="%1.%2.%3.%4.%5.%6.%7.%8"/>
      <w:lvlJc w:val="left"/>
      <w:pPr>
        <w:ind w:hanging="1800" w:left="2367"/>
      </w:pPr>
      <w:rPr/>
    </w:lvl>
    <w:lvl w:ilvl="8">
      <w:start w:val="1"/>
      <w:numFmt w:val="decimal"/>
      <w:isLgl w:val="1"/>
      <w:suff w:val="tab"/>
      <w:lvlText w:val="%1.%2.%3.%4.%5.%6.%7.%8.%9"/>
      <w:lvlJc w:val="left"/>
      <w:pPr>
        <w:ind w:hanging="2160" w:left="2727"/>
      </w:pPr>
      <w:rPr/>
    </w:lvl>
  </w:abstractNum>
  <w:abstractNum w:abstractNumId="2">
    <w:nsid w:val="39E41DF6"/>
    <w:multiLevelType w:val="hybridMultilevel"/>
    <w:lvl w:ilvl="0" w:tplc="8EF83644">
      <w:start w:val="1"/>
      <w:numFmt w:val="decimal"/>
      <w:suff w:val="tab"/>
      <w:lvlText w:val="%1."/>
      <w:lvlJc w:val="left"/>
      <w:pPr>
        <w:ind w:hanging="840" w:left="1407"/>
      </w:pPr>
      <w:rPr/>
    </w:lvl>
    <w:lvl w:ilvl="1" w:tplc="04190019">
      <w:start w:val="1"/>
      <w:numFmt w:val="lowerLetter"/>
      <w:suff w:val="tab"/>
      <w:lvlText w:val="%2."/>
      <w:lvlJc w:val="left"/>
      <w:pPr>
        <w:ind w:hanging="360" w:left="1647"/>
      </w:pPr>
      <w:rPr/>
    </w:lvl>
    <w:lvl w:ilvl="2" w:tplc="0419001B">
      <w:start w:val="1"/>
      <w:numFmt w:val="lowerRoman"/>
      <w:suff w:val="tab"/>
      <w:lvlText w:val="%3."/>
      <w:lvlJc w:val="right"/>
      <w:pPr>
        <w:ind w:hanging="180" w:left="2367"/>
      </w:pPr>
      <w:rPr/>
    </w:lvl>
    <w:lvl w:ilvl="3" w:tplc="0419000F">
      <w:start w:val="1"/>
      <w:numFmt w:val="decimal"/>
      <w:suff w:val="tab"/>
      <w:lvlText w:val="%4."/>
      <w:lvlJc w:val="left"/>
      <w:pPr>
        <w:ind w:hanging="360" w:left="3087"/>
      </w:pPr>
      <w:rPr/>
    </w:lvl>
    <w:lvl w:ilvl="4" w:tplc="04190019">
      <w:start w:val="1"/>
      <w:numFmt w:val="lowerLetter"/>
      <w:suff w:val="tab"/>
      <w:lvlText w:val="%5."/>
      <w:lvlJc w:val="left"/>
      <w:pPr>
        <w:ind w:hanging="360" w:left="3807"/>
      </w:pPr>
      <w:rPr/>
    </w:lvl>
    <w:lvl w:ilvl="5" w:tplc="0419001B">
      <w:start w:val="1"/>
      <w:numFmt w:val="lowerRoman"/>
      <w:suff w:val="tab"/>
      <w:lvlText w:val="%6."/>
      <w:lvlJc w:val="right"/>
      <w:pPr>
        <w:ind w:hanging="180" w:left="4527"/>
      </w:pPr>
      <w:rPr/>
    </w:lvl>
    <w:lvl w:ilvl="6" w:tplc="0419000F">
      <w:start w:val="1"/>
      <w:numFmt w:val="decimal"/>
      <w:suff w:val="tab"/>
      <w:lvlText w:val="%7."/>
      <w:lvlJc w:val="left"/>
      <w:pPr>
        <w:ind w:hanging="360" w:left="5247"/>
      </w:pPr>
      <w:rPr/>
    </w:lvl>
    <w:lvl w:ilvl="7" w:tplc="04190019">
      <w:start w:val="1"/>
      <w:numFmt w:val="lowerLetter"/>
      <w:suff w:val="tab"/>
      <w:lvlText w:val="%8."/>
      <w:lvlJc w:val="left"/>
      <w:pPr>
        <w:ind w:hanging="360" w:left="5967"/>
      </w:pPr>
      <w:rPr/>
    </w:lvl>
    <w:lvl w:ilvl="8" w:tplc="0419001B">
      <w:start w:val="1"/>
      <w:numFmt w:val="lowerRoman"/>
      <w:suff w:val="tab"/>
      <w:lvlText w:val="%9."/>
      <w:lvlJc w:val="right"/>
      <w:pPr>
        <w:ind w:hanging="180" w:left="6687"/>
      </w:pPr>
      <w:rPr/>
    </w:lvl>
  </w:abstractNum>
  <w:abstractNum w:abstractNumId="3">
    <w:nsid w:val="7A7356C7"/>
    <w:multiLevelType w:val="hybridMultilevel"/>
    <w:lvl w:ilvl="0" w:tplc="B73E67C8">
      <w:start w:val="1"/>
      <w:numFmt w:val="decimal"/>
      <w:suff w:val="tab"/>
      <w:lvlText w:val="%1."/>
      <w:lvlJc w:val="left"/>
      <w:pPr>
        <w:ind w:hanging="360" w:left="1211"/>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num w:numId="1">
    <w:abstractNumId w:val="1"/>
  </w:num>
  <w:num w:numId="2">
    <w:abstractNumId w:val="0"/>
  </w:num>
  <w:num w:numId="3">
    <w:abstractNumId w:val="3"/>
  </w:num>
  <w:num w:numId="4">
    <w:abstractNumId w:val="2"/>
  </w:num>
</w:numbering>
</file>

<file path=word/settings.xml><?xml version="1.0" encoding="utf-8"?>
<w:settings xmlns:w="http://schemas.openxmlformats.org/wordprocessingml/2006/main">
  <w:displayBackgroundShape w:val="0"/>
  <w:defaultTabStop w:val="708"/>
  <w:autoHyphenation w:val="0"/>
  <w:evenAndOddHeaders w:val="0"/>
  <w:clrSchemeMapping/>
</w:settings>
</file>

<file path=word/styles.xml><?xml version="1.0" encoding="utf-8"?>
<w:styles xmlns:w="http://schemas.openxmlformats.org/wordprocessingml/2006/main">
  <w:docDefaults>
    <w:rPrDefault>
      <w:rPr>
        <w:rFonts w:ascii="Calibri" w:hAnsi="Calibri"/>
        <w:b w:val="0"/>
        <w:i w:val="0"/>
        <w:caps w:val="0"/>
        <w:strike w:val="0"/>
        <w:noProof w:val="0"/>
        <w:vanish w:val="0"/>
        <w:color w:val="000000"/>
        <w:sz w:val="22"/>
        <w:u w:val="none"/>
        <w:vertAlign w:val="baseline"/>
        <w:lang w:val="ru-RU" w:bidi="ar-SA" w:eastAsia="en-US"/>
      </w:rPr>
    </w:rPrDefault>
    <w:pPrDefault>
      <w:pPr>
        <w:keepNext w:val="0"/>
        <w:keepLines w:val="0"/>
        <w:widowControl w:val="1"/>
        <w:suppressLineNumbers w:val="0"/>
        <w:shd w:val="clear" w:fill="auto"/>
        <w:suppressAutoHyphens w:val="0"/>
        <w:spacing w:lineRule="auto" w:line="259" w:before="0" w:after="160" w:beforeAutospacing="0" w:afterAutospacing="0"/>
        <w:ind w:firstLine="0" w:left="0" w:right="0"/>
        <w:contextualSpacing w:val="0"/>
        <w:jc w:val="left"/>
      </w:pPr>
    </w:pPrDefault>
  </w:docDefaults>
  <w:style w:type="paragraph" w:styleId="P0" w:default="1">
    <w:name w:val="Normal"/>
    <w:qFormat/>
    <w:pPr>
      <w:spacing w:lineRule="auto" w:line="240" w:after="0" w:beforeAutospacing="0" w:afterAutospacing="0"/>
    </w:pPr>
    <w:rPr>
      <w:rFonts w:ascii="Times New Roman" w:hAnsi="Times New Roman"/>
      <w:sz w:val="24"/>
      <w:lang w:eastAsia="ru-RU"/>
    </w:rPr>
  </w:style>
  <w:style w:type="paragraph" w:styleId="P1">
    <w:name w:val="header"/>
    <w:basedOn w:val="P0"/>
    <w:link w:val="C3"/>
    <w:pPr>
      <w:tabs>
        <w:tab w:val="center" w:pos="4677" w:leader="none"/>
        <w:tab w:val="right" w:pos="9355" w:leader="none"/>
      </w:tabs>
    </w:pPr>
    <w:rPr/>
  </w:style>
  <w:style w:type="paragraph" w:styleId="P2">
    <w:name w:val="Balloon Text"/>
    <w:basedOn w:val="P0"/>
    <w:link w:val="C4"/>
    <w:semiHidden/>
    <w:pPr/>
    <w:rPr>
      <w:rFonts w:ascii="Segoe UI" w:hAnsi="Segoe UI"/>
      <w:sz w:val="18"/>
    </w:rPr>
  </w:style>
  <w:style w:type="paragraph" w:styleId="P3">
    <w:name w:val="Без интервала1"/>
    <w:basedOn w:val="P0"/>
    <w:qFormat/>
    <w:pPr/>
    <w:rPr>
      <w:noProof w:val="1"/>
      <w:color w:val="000000"/>
    </w:rPr>
  </w:style>
  <w:style w:type="paragraph" w:styleId="P4">
    <w:name w:val="Без интервала2"/>
    <w:basedOn w:val="P0"/>
    <w:qFormat/>
    <w:pPr/>
    <w:rPr>
      <w:noProof w:val="1"/>
      <w:color w:val="000000"/>
    </w:rPr>
  </w:style>
  <w:style w:type="paragraph" w:styleId="P5">
    <w:name w:val="Table Contents"/>
    <w:basedOn w:val="P0"/>
    <w:pPr>
      <w:widowControl w:val="0"/>
      <w:suppressLineNumbers w:val="1"/>
      <w:suppressAutoHyphens w:val="1"/>
    </w:pPr>
    <w:rPr>
      <w:rFonts w:ascii="Arial" w:hAnsi="Arial"/>
      <w:lang w:bidi="hi-IN" w:eastAsia="zh-CN"/>
    </w:rPr>
  </w:style>
  <w:style w:type="paragraph" w:styleId="P6">
    <w:name w:val="List Paragraph"/>
    <w:basedOn w:val="P0"/>
    <w:qFormat/>
    <w:pPr>
      <w:ind w:left="720"/>
      <w:contextualSpacing w:val="1"/>
    </w:pPr>
    <w:rPr/>
  </w:style>
  <w:style w:type="paragraph" w:styleId="P7">
    <w:name w:val="footer"/>
    <w:basedOn w:val="P0"/>
    <w:link w:val="C8"/>
    <w:pPr>
      <w:tabs>
        <w:tab w:val="center" w:pos="4677" w:leader="none"/>
        <w:tab w:val="right" w:pos="9355" w:leader="none"/>
      </w:tabs>
    </w:pPr>
    <w:rPr/>
  </w:style>
  <w:style w:type="character" w:styleId="C0" w:default="1">
    <w:name w:val="Default Paragraph Font"/>
    <w:semiHidden/>
    <w:rPr/>
  </w:style>
  <w:style w:type="character" w:styleId="C1">
    <w:name w:val="Line Number"/>
    <w:basedOn w:val="C0"/>
    <w:semiHidden/>
    <w:rPr/>
  </w:style>
  <w:style w:type="character" w:styleId="C2">
    <w:name w:val="Hyperlink"/>
    <w:basedOn w:val="C0"/>
    <w:semiHidden/>
    <w:rPr>
      <w:color w:val="0000FF"/>
      <w:u w:val="single"/>
    </w:rPr>
  </w:style>
  <w:style w:type="character" w:styleId="C3">
    <w:name w:val="Верхний колонтитул Знак"/>
    <w:basedOn w:val="C0"/>
    <w:link w:val="P1"/>
    <w:rPr/>
  </w:style>
  <w:style w:type="character" w:styleId="C4">
    <w:name w:val="Текст выноски Знак"/>
    <w:basedOn w:val="C0"/>
    <w:link w:val="P2"/>
    <w:semiHidden/>
    <w:rPr>
      <w:rFonts w:ascii="Segoe UI" w:hAnsi="Segoe UI"/>
      <w:sz w:val="18"/>
    </w:rPr>
  </w:style>
  <w:style w:type="character" w:styleId="C5">
    <w:name w:val="section__info"/>
    <w:rPr/>
  </w:style>
  <w:style w:type="character" w:styleId="C6">
    <w:name w:val="collapse__title_text"/>
    <w:rPr/>
  </w:style>
  <w:style w:type="character" w:styleId="C7">
    <w:name w:val="cardmaininfo__purchaselink"/>
    <w:basedOn w:val="C0"/>
    <w:rPr/>
  </w:style>
  <w:style w:type="character" w:styleId="C8">
    <w:name w:val="Нижний колонтитул Знак"/>
    <w:basedOn w:val="C0"/>
    <w:link w:val="P7"/>
    <w:rPr/>
  </w:style>
  <w:style w:type="character" w:styleId="C9">
    <w:name w:val="cardmaininfo__content"/>
    <w:basedOn w:val="C0"/>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numbering" w:styleId="N0">
    <w:name w:val="No List"/>
  </w:style>
</w:styles>
</file>

<file path=word/_rels/document.xml.rels>&#65279;<?xml version="1.0" encoding="utf-8"?><Relationships xmlns="http://schemas.openxmlformats.org/package/2006/relationships"><Relationship Id="RelHdr1" Type="http://schemas.openxmlformats.org/officeDocument/2006/relationships/header" Target="header1.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