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96"/>
        <w:gridCol w:w="4959"/>
      </w:tblGrid>
      <w:tr w:rsidR="00ED0596" w:rsidRPr="002C3819" w:rsidTr="00E05138">
        <w:tc>
          <w:tcPr>
            <w:tcW w:w="4553" w:type="dxa"/>
          </w:tcPr>
          <w:p w:rsidR="00ED0596" w:rsidRPr="006B1DB9" w:rsidRDefault="00ED0596" w:rsidP="00E0513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18" w:type="dxa"/>
          </w:tcPr>
          <w:p w:rsidR="00D80AD8" w:rsidRDefault="00D80AD8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Администрация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Красносельского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района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Санкт-Петербурга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ул.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Партизана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Германа,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3,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Санкт-Петербург,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198329</w:t>
            </w:r>
          </w:p>
          <w:p w:rsidR="00ED0596" w:rsidRPr="002C3819" w:rsidRDefault="00017147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ЗАО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«Сбербанк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–Автоматизированная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система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торгов»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Большой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Саввинский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пер.,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д.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12,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стр.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9,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Москва,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119435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факс: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(495)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787-29-98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ООО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Pr="002C3819">
              <w:rPr>
                <w:iCs/>
                <w:sz w:val="26"/>
                <w:szCs w:val="26"/>
                <w:lang w:eastAsia="en-US"/>
              </w:rPr>
              <w:t>ПрофЛЭД</w:t>
            </w:r>
            <w:proofErr w:type="spellEnd"/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Групп»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пр.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Нахимовский,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д.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32,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к.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34,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Москва,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117218</w:t>
            </w:r>
          </w:p>
          <w:p w:rsidR="00ED0596" w:rsidRPr="002C3819" w:rsidRDefault="00ED0596" w:rsidP="00E05138">
            <w:pPr>
              <w:spacing w:line="256" w:lineRule="auto"/>
              <w:ind w:left="834"/>
              <w:rPr>
                <w:iCs/>
                <w:sz w:val="26"/>
                <w:szCs w:val="26"/>
                <w:lang w:eastAsia="en-US"/>
              </w:rPr>
            </w:pPr>
            <w:r w:rsidRPr="002C3819">
              <w:rPr>
                <w:iCs/>
                <w:sz w:val="26"/>
                <w:szCs w:val="26"/>
                <w:lang w:eastAsia="en-US"/>
              </w:rPr>
              <w:t>тел.: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+7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(495)</w:t>
            </w:r>
            <w:r w:rsidR="00017147" w:rsidRPr="002C3819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2C3819">
              <w:rPr>
                <w:iCs/>
                <w:sz w:val="26"/>
                <w:szCs w:val="26"/>
                <w:lang w:eastAsia="en-US"/>
              </w:rPr>
              <w:t>540-41-79</w:t>
            </w:r>
          </w:p>
          <w:p w:rsidR="00ED0596" w:rsidRPr="002C3819" w:rsidRDefault="00ED0596" w:rsidP="00E05138">
            <w:pPr>
              <w:spacing w:line="256" w:lineRule="auto"/>
              <w:ind w:left="871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ED0596" w:rsidRPr="002C3819" w:rsidTr="00E05138">
        <w:tc>
          <w:tcPr>
            <w:tcW w:w="4553" w:type="dxa"/>
          </w:tcPr>
          <w:p w:rsidR="00ED0596" w:rsidRPr="002C3819" w:rsidRDefault="00ED0596" w:rsidP="00E05138">
            <w:pPr>
              <w:spacing w:line="256" w:lineRule="auto"/>
              <w:ind w:right="-9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18" w:type="dxa"/>
          </w:tcPr>
          <w:p w:rsidR="00ED0596" w:rsidRPr="002C3819" w:rsidRDefault="00ED0596" w:rsidP="00E05138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ED0596" w:rsidRPr="002C3819" w:rsidRDefault="00ED0596" w:rsidP="00E05138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ED0596" w:rsidRPr="002C3819" w:rsidRDefault="00ED0596" w:rsidP="00E05138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D0596" w:rsidRPr="002C3819" w:rsidRDefault="00ED0596" w:rsidP="00D80AD8">
      <w:pPr>
        <w:jc w:val="center"/>
        <w:rPr>
          <w:sz w:val="26"/>
          <w:szCs w:val="26"/>
        </w:rPr>
      </w:pPr>
      <w:r w:rsidRPr="002C3819">
        <w:rPr>
          <w:sz w:val="26"/>
          <w:szCs w:val="26"/>
        </w:rPr>
        <w:t>РЕШЕНИЕ</w:t>
      </w:r>
    </w:p>
    <w:p w:rsidR="00D80AD8" w:rsidRPr="002C3819" w:rsidRDefault="00ED0596" w:rsidP="00D80AD8">
      <w:pPr>
        <w:jc w:val="center"/>
        <w:rPr>
          <w:sz w:val="26"/>
          <w:szCs w:val="26"/>
        </w:rPr>
      </w:pP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делу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№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44-</w:t>
      </w:r>
      <w:r w:rsidR="002C0F92">
        <w:rPr>
          <w:sz w:val="26"/>
          <w:szCs w:val="26"/>
        </w:rPr>
        <w:t>532</w:t>
      </w:r>
      <w:r w:rsidRPr="002C3819">
        <w:rPr>
          <w:sz w:val="26"/>
          <w:szCs w:val="26"/>
        </w:rPr>
        <w:t>/21</w:t>
      </w:r>
      <w:r w:rsidR="00017147" w:rsidRPr="002C3819">
        <w:rPr>
          <w:sz w:val="26"/>
          <w:szCs w:val="26"/>
        </w:rPr>
        <w:t xml:space="preserve"> </w:t>
      </w:r>
    </w:p>
    <w:p w:rsidR="00D80AD8" w:rsidRPr="002C3819" w:rsidRDefault="00D80AD8" w:rsidP="00D80AD8">
      <w:pPr>
        <w:jc w:val="center"/>
        <w:rPr>
          <w:sz w:val="26"/>
          <w:szCs w:val="26"/>
        </w:rPr>
      </w:pP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нарушении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законодательства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системе</w:t>
      </w:r>
    </w:p>
    <w:p w:rsidR="00ED0596" w:rsidRPr="002C3819" w:rsidRDefault="00ED0596" w:rsidP="00ED0596">
      <w:pPr>
        <w:ind w:firstLine="540"/>
        <w:jc w:val="center"/>
        <w:rPr>
          <w:sz w:val="26"/>
          <w:szCs w:val="26"/>
        </w:rPr>
      </w:pPr>
    </w:p>
    <w:p w:rsidR="00ED0596" w:rsidRPr="002C3819" w:rsidRDefault="00ED0596" w:rsidP="00ED0596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D0596" w:rsidRPr="002C3819" w:rsidTr="00E05138">
        <w:tc>
          <w:tcPr>
            <w:tcW w:w="4785" w:type="dxa"/>
            <w:shd w:val="clear" w:color="auto" w:fill="auto"/>
          </w:tcPr>
          <w:p w:rsidR="00ED0596" w:rsidRPr="002C3819" w:rsidRDefault="00ED0596" w:rsidP="00E05138">
            <w:pPr>
              <w:jc w:val="both"/>
              <w:rPr>
                <w:sz w:val="26"/>
                <w:szCs w:val="26"/>
              </w:rPr>
            </w:pPr>
            <w:r w:rsidRPr="002C3819">
              <w:rPr>
                <w:sz w:val="26"/>
                <w:szCs w:val="26"/>
              </w:rPr>
              <w:t>10.02.2021</w:t>
            </w:r>
          </w:p>
        </w:tc>
        <w:tc>
          <w:tcPr>
            <w:tcW w:w="4786" w:type="dxa"/>
            <w:shd w:val="clear" w:color="auto" w:fill="auto"/>
          </w:tcPr>
          <w:p w:rsidR="00ED0596" w:rsidRPr="002C3819" w:rsidRDefault="00ED0596" w:rsidP="00E05138">
            <w:pPr>
              <w:jc w:val="right"/>
              <w:rPr>
                <w:sz w:val="26"/>
                <w:szCs w:val="26"/>
              </w:rPr>
            </w:pPr>
            <w:r w:rsidRPr="002C3819">
              <w:rPr>
                <w:sz w:val="26"/>
                <w:szCs w:val="26"/>
              </w:rPr>
              <w:t>Санкт-Петербург</w:t>
            </w:r>
          </w:p>
        </w:tc>
      </w:tr>
    </w:tbl>
    <w:p w:rsidR="00ED0596" w:rsidRPr="002C3819" w:rsidRDefault="00ED0596" w:rsidP="00ED0596">
      <w:pPr>
        <w:tabs>
          <w:tab w:val="left" w:pos="0"/>
        </w:tabs>
        <w:jc w:val="both"/>
        <w:rPr>
          <w:sz w:val="26"/>
          <w:szCs w:val="26"/>
        </w:rPr>
      </w:pPr>
    </w:p>
    <w:p w:rsidR="00ED0596" w:rsidRPr="002C3819" w:rsidRDefault="00ED0596" w:rsidP="00ED0596">
      <w:pPr>
        <w:tabs>
          <w:tab w:val="left" w:pos="0"/>
        </w:tabs>
        <w:ind w:firstLine="709"/>
        <w:jc w:val="both"/>
        <w:rPr>
          <w:iCs/>
          <w:sz w:val="26"/>
          <w:szCs w:val="26"/>
        </w:rPr>
      </w:pPr>
      <w:r w:rsidRPr="002C3819">
        <w:rPr>
          <w:sz w:val="26"/>
          <w:szCs w:val="26"/>
        </w:rPr>
        <w:t>Комиссия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Санкт-Петербургского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УФАС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России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контролю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сфере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(далее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–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Комиссия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УФАС)</w:t>
      </w:r>
    </w:p>
    <w:p w:rsidR="00D80AD8" w:rsidRPr="002C3819" w:rsidRDefault="00D80AD8" w:rsidP="00D80AD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при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представителей:</w:t>
      </w:r>
    </w:p>
    <w:p w:rsidR="00D80AD8" w:rsidRPr="002C3819" w:rsidRDefault="00D80AD8" w:rsidP="00D80AD8">
      <w:pPr>
        <w:spacing w:line="256" w:lineRule="auto"/>
        <w:ind w:firstLine="708"/>
        <w:jc w:val="both"/>
        <w:rPr>
          <w:iCs/>
          <w:sz w:val="26"/>
          <w:szCs w:val="26"/>
          <w:lang w:eastAsia="en-US"/>
        </w:rPr>
      </w:pPr>
      <w:r w:rsidRPr="002C3819">
        <w:rPr>
          <w:iCs/>
          <w:sz w:val="26"/>
          <w:szCs w:val="26"/>
          <w:lang w:eastAsia="en-US"/>
        </w:rPr>
        <w:t>Администрация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Красносельского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района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Санкт-Петербурга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(далее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–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Уполномоченный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орган);</w:t>
      </w:r>
    </w:p>
    <w:p w:rsidR="00D80AD8" w:rsidRPr="002C3819" w:rsidRDefault="00D80AD8" w:rsidP="00D80AD8">
      <w:pPr>
        <w:spacing w:line="256" w:lineRule="auto"/>
        <w:ind w:firstLine="708"/>
        <w:jc w:val="both"/>
        <w:rPr>
          <w:iCs/>
          <w:sz w:val="26"/>
          <w:szCs w:val="26"/>
          <w:lang w:eastAsia="en-US"/>
        </w:rPr>
      </w:pPr>
      <w:r w:rsidRPr="002C3819">
        <w:rPr>
          <w:iCs/>
          <w:sz w:val="26"/>
          <w:szCs w:val="26"/>
          <w:lang w:eastAsia="en-US"/>
        </w:rPr>
        <w:t>ООО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«</w:t>
      </w:r>
      <w:proofErr w:type="spellStart"/>
      <w:r w:rsidRPr="002C3819">
        <w:rPr>
          <w:iCs/>
          <w:sz w:val="26"/>
          <w:szCs w:val="26"/>
          <w:lang w:eastAsia="en-US"/>
        </w:rPr>
        <w:t>ПрофЛЭД</w:t>
      </w:r>
      <w:proofErr w:type="spellEnd"/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Групп»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(далее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–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Заявитель);</w:t>
      </w:r>
    </w:p>
    <w:p w:rsidR="00D80AD8" w:rsidRPr="002C3819" w:rsidRDefault="00D80AD8" w:rsidP="00D80AD8">
      <w:pPr>
        <w:spacing w:line="256" w:lineRule="auto"/>
        <w:ind w:firstLine="708"/>
        <w:jc w:val="both"/>
        <w:rPr>
          <w:iCs/>
          <w:sz w:val="26"/>
          <w:szCs w:val="26"/>
          <w:lang w:eastAsia="en-US"/>
        </w:rPr>
      </w:pPr>
      <w:r w:rsidRPr="002C3819">
        <w:rPr>
          <w:iCs/>
          <w:sz w:val="26"/>
          <w:szCs w:val="26"/>
          <w:lang w:eastAsia="en-US"/>
        </w:rPr>
        <w:t>в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отсутствие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представителей:</w:t>
      </w:r>
    </w:p>
    <w:p w:rsidR="00D80AD8" w:rsidRPr="002C3819" w:rsidRDefault="00D80AD8" w:rsidP="00D80AD8">
      <w:pPr>
        <w:spacing w:line="256" w:lineRule="auto"/>
        <w:ind w:firstLine="708"/>
        <w:jc w:val="both"/>
        <w:rPr>
          <w:iCs/>
          <w:sz w:val="26"/>
          <w:szCs w:val="26"/>
          <w:lang w:eastAsia="en-US"/>
        </w:rPr>
      </w:pPr>
      <w:r w:rsidRPr="002C3819">
        <w:rPr>
          <w:iCs/>
          <w:sz w:val="26"/>
          <w:szCs w:val="26"/>
          <w:lang w:eastAsia="en-US"/>
        </w:rPr>
        <w:t>ГОСУДАРСТВЕННОЕ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БЮДЖЕТНОЕ</w:t>
      </w:r>
      <w:bookmarkStart w:id="0" w:name="_GoBack"/>
      <w:bookmarkEnd w:id="0"/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ОБЩЕОБРАЗОВАТЕЛЬНОЕ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УЧРЕЖДЕНИЕ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СРЕДНЯЯ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ОБЩЕОБРАЗОВАТЕЛЬНАЯ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ШКОЛА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№390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КРАСНОСЕЛЬСКОГО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РАЙОНА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САНКТ-ПЕТЕРБУРГА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(далее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–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Заказчик);</w:t>
      </w:r>
    </w:p>
    <w:p w:rsidR="00ED0596" w:rsidRPr="002C3819" w:rsidRDefault="00D80AD8" w:rsidP="00D80AD8">
      <w:pPr>
        <w:tabs>
          <w:tab w:val="left" w:pos="0"/>
        </w:tabs>
        <w:ind w:firstLine="709"/>
        <w:jc w:val="both"/>
        <w:rPr>
          <w:iCs/>
          <w:sz w:val="26"/>
          <w:szCs w:val="26"/>
        </w:rPr>
      </w:pPr>
      <w:r w:rsidRPr="002C3819">
        <w:rPr>
          <w:sz w:val="26"/>
          <w:szCs w:val="26"/>
        </w:rPr>
        <w:t>рассмотрев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жалобу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bCs/>
          <w:sz w:val="26"/>
          <w:szCs w:val="26"/>
        </w:rPr>
        <w:t>Заявителя</w:t>
      </w:r>
      <w:r w:rsidR="00017147" w:rsidRPr="002C3819">
        <w:rPr>
          <w:bCs/>
          <w:sz w:val="26"/>
          <w:szCs w:val="26"/>
        </w:rPr>
        <w:t xml:space="preserve"> </w:t>
      </w:r>
      <w:r w:rsidR="001D73E7">
        <w:rPr>
          <w:sz w:val="26"/>
          <w:szCs w:val="26"/>
        </w:rPr>
        <w:t>(3708</w:t>
      </w:r>
      <w:r w:rsidRPr="002C3819">
        <w:rPr>
          <w:sz w:val="26"/>
          <w:szCs w:val="26"/>
        </w:rPr>
        <w:t>-ЭП/21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04.02.2021)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действия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Уполномоченного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органа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определении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поставщика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(подрядчика,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исполнителя)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путем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проведения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открытого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конкурса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электронной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форме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оказание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услуг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(совершение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действий),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направленных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энергосбережение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повышение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энергетической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эффективности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использования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энергетических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ресурсов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(электрической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энергии)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цели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освещения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Государственного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бюджетного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общеобразовательного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учреждения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средняя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общеобразовательная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школа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№390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Красносельского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района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Санкт-Петербурга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(реестровый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номер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закупки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lastRenderedPageBreak/>
        <w:t>0172200005520000187)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(далее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–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конкурс),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также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результате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проведения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внеплановой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проверки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основании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п.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1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ч.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15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ст.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99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Федерального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закона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от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05.04.2013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№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44-ФЗ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«О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системе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сфере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закупок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товаров,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работ,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услуг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для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обеспечения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государственных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муниципальных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нужд»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(далее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–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Закон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системе),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Административного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регламента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Федеральной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антимонопольной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службы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исполнению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государственной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функции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рассмотрению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жалоб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на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действия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(бездействие)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заказчика,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уполномоченного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органа,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уполномоченного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учреждения,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специализированной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организации,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комиссии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осуществлению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закупок,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ее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членов,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должностного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лица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контрактной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службы,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контрактного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управляющего,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оператора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электронной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площадки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при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определении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поставщиков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(подрядчиков,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исполнителей)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для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обеспечения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государственных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и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муниципальных</w:t>
      </w:r>
      <w:r w:rsidR="00017147" w:rsidRPr="002C3819">
        <w:rPr>
          <w:bCs/>
          <w:sz w:val="26"/>
          <w:szCs w:val="26"/>
        </w:rPr>
        <w:t xml:space="preserve"> </w:t>
      </w:r>
      <w:r w:rsidR="00ED0596" w:rsidRPr="002C3819">
        <w:rPr>
          <w:bCs/>
          <w:sz w:val="26"/>
          <w:szCs w:val="26"/>
        </w:rPr>
        <w:t>нужд</w:t>
      </w:r>
      <w:r w:rsidR="00ED0596" w:rsidRPr="002C3819">
        <w:rPr>
          <w:spacing w:val="6"/>
          <w:sz w:val="26"/>
          <w:szCs w:val="26"/>
        </w:rPr>
        <w:t>,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утвержденного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приказом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ФАС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России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от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19.11.2014</w:t>
      </w:r>
      <w:r w:rsidR="00017147" w:rsidRPr="002C3819">
        <w:rPr>
          <w:spacing w:val="6"/>
          <w:sz w:val="26"/>
          <w:szCs w:val="26"/>
        </w:rPr>
        <w:t xml:space="preserve"> </w:t>
      </w:r>
      <w:r w:rsidR="00F36612">
        <w:rPr>
          <w:spacing w:val="6"/>
          <w:sz w:val="26"/>
          <w:szCs w:val="26"/>
        </w:rPr>
        <w:br/>
      </w:r>
      <w:r w:rsidR="00ED0596" w:rsidRPr="002C3819">
        <w:rPr>
          <w:spacing w:val="6"/>
          <w:sz w:val="26"/>
          <w:szCs w:val="26"/>
        </w:rPr>
        <w:t>№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pacing w:val="6"/>
          <w:sz w:val="26"/>
          <w:szCs w:val="26"/>
        </w:rPr>
        <w:t>727/14</w:t>
      </w:r>
      <w:r w:rsidR="00017147" w:rsidRPr="002C3819">
        <w:rPr>
          <w:spacing w:val="6"/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(далее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–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Административный</w:t>
      </w:r>
      <w:r w:rsidR="00017147"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регламент),</w:t>
      </w:r>
    </w:p>
    <w:p w:rsidR="00ED0596" w:rsidRPr="002C3819" w:rsidRDefault="00ED0596" w:rsidP="00ED0596">
      <w:pPr>
        <w:ind w:firstLine="709"/>
        <w:jc w:val="center"/>
        <w:rPr>
          <w:sz w:val="26"/>
          <w:szCs w:val="26"/>
        </w:rPr>
      </w:pPr>
    </w:p>
    <w:p w:rsidR="00ED0596" w:rsidRPr="002C3819" w:rsidRDefault="00ED0596" w:rsidP="00ED0596">
      <w:pPr>
        <w:jc w:val="center"/>
        <w:rPr>
          <w:sz w:val="26"/>
          <w:szCs w:val="26"/>
        </w:rPr>
      </w:pPr>
      <w:r w:rsidRPr="002C3819">
        <w:rPr>
          <w:sz w:val="26"/>
          <w:szCs w:val="26"/>
        </w:rPr>
        <w:t>УСТАНОВИЛА:</w:t>
      </w:r>
    </w:p>
    <w:p w:rsidR="00ED0596" w:rsidRPr="002C3819" w:rsidRDefault="00ED0596" w:rsidP="00ED0596">
      <w:pPr>
        <w:ind w:firstLine="709"/>
        <w:jc w:val="center"/>
        <w:outlineLvl w:val="0"/>
        <w:rPr>
          <w:sz w:val="26"/>
          <w:szCs w:val="26"/>
        </w:rPr>
      </w:pPr>
    </w:p>
    <w:p w:rsidR="00ED0596" w:rsidRPr="002C3819" w:rsidRDefault="00ED0596" w:rsidP="00ED0596">
      <w:pPr>
        <w:ind w:right="-5"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Извещение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проведении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открытого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конкурса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электронной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форме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размещено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30.12.2020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Официальном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сайте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Единой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информационной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сфере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www.zakupki.gov.ru,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номер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извещения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0172200005520000187.</w:t>
      </w:r>
      <w:r w:rsidR="00017147" w:rsidRPr="002C3819">
        <w:rPr>
          <w:sz w:val="26"/>
          <w:szCs w:val="26"/>
        </w:rPr>
        <w:t xml:space="preserve"> </w:t>
      </w:r>
    </w:p>
    <w:p w:rsidR="00ED0596" w:rsidRPr="002C3819" w:rsidRDefault="00017147" w:rsidP="00ED05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Начальная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(максимальная)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цена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контракта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–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3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509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343,18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рубл</w:t>
      </w:r>
      <w:r w:rsidR="00FA148B">
        <w:rPr>
          <w:sz w:val="26"/>
          <w:szCs w:val="26"/>
        </w:rPr>
        <w:t>я</w:t>
      </w:r>
      <w:r w:rsidR="00ED0596" w:rsidRPr="002C3819">
        <w:rPr>
          <w:sz w:val="26"/>
          <w:szCs w:val="26"/>
        </w:rPr>
        <w:t>.</w:t>
      </w:r>
    </w:p>
    <w:p w:rsidR="00ED0596" w:rsidRPr="002C3819" w:rsidRDefault="00017147" w:rsidP="00ED05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жалобе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iCs/>
          <w:sz w:val="26"/>
          <w:szCs w:val="26"/>
          <w:lang w:eastAsia="en-US"/>
        </w:rPr>
        <w:t>Заявитель</w:t>
      </w:r>
      <w:r w:rsidRPr="002C3819">
        <w:rPr>
          <w:iCs/>
          <w:sz w:val="26"/>
          <w:szCs w:val="26"/>
          <w:lang w:eastAsia="en-US"/>
        </w:rPr>
        <w:t xml:space="preserve"> </w:t>
      </w:r>
      <w:r w:rsidR="00ED0596" w:rsidRPr="002C3819">
        <w:rPr>
          <w:sz w:val="26"/>
          <w:szCs w:val="26"/>
        </w:rPr>
        <w:t>указал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неправомерные,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его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мнению,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действия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Заказчика,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выраженные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установлении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неправомерного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порядка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оценки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показателю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«опыт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участника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успешной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поставке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товара,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выполнению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работ,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оказанию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услуг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сопоставимого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характера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объема»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критерия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«Квалификация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участников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закупки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том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числе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наличие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них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финансовых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ресурсов,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оборудования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других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материальных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ресурсов,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принадлежащих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им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праве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собственности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или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на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ином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законном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основании,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опыта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работы,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связанного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предметом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контракта,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деловой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репутации,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специалистов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иных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работников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определенного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уровня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квалификации»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(далее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–</w:t>
      </w:r>
      <w:r w:rsidRPr="002C3819">
        <w:rPr>
          <w:sz w:val="26"/>
          <w:szCs w:val="26"/>
        </w:rPr>
        <w:t xml:space="preserve"> </w:t>
      </w:r>
      <w:r w:rsidR="00ED0596" w:rsidRPr="002C3819">
        <w:rPr>
          <w:sz w:val="26"/>
          <w:szCs w:val="26"/>
        </w:rPr>
        <w:t>«Квалификация»).</w:t>
      </w:r>
    </w:p>
    <w:p w:rsidR="00ED0596" w:rsidRPr="002C3819" w:rsidRDefault="00ED0596" w:rsidP="00ED0596">
      <w:pPr>
        <w:ind w:right="-5"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Представитель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ходе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заседания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Комиссии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УФАС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пояснил,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согласен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доводами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жалобы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просил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признать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ее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необоснованной,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также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представил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письменные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возражения.</w:t>
      </w:r>
    </w:p>
    <w:p w:rsidR="00ED0596" w:rsidRPr="002C3819" w:rsidRDefault="00ED0596" w:rsidP="00ED0596">
      <w:pPr>
        <w:ind w:right="-5"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Информация,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изложенная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жалобе,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пояснения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представителей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сторон,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представленные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подтверждают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следующие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обстоятельства.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4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54.3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содержать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предусмотренные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54.4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требования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содержанию,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числе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описанию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открытого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электронной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составу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открытом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электронной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инструкцию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ее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заполнению,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допускается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установление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требований,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влекущих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собой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ограничение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ограничение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доступа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открытом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электронной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форме.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Согласно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8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54.3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содержать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открытом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электронной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величины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значимости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этих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критериев,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рассмотрения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открытом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электронной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lastRenderedPageBreak/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32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окончательных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заказчик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устанавливает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следующие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критерии: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1)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цена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контракта;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2)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расходы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эксплуатацию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ремонт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товаров,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использование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результатов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3)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качественные,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функциональные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экологические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характеристики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объекта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b/>
          <w:bCs/>
          <w:color w:val="000000"/>
          <w:sz w:val="26"/>
          <w:szCs w:val="26"/>
        </w:rPr>
        <w:t>4)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квалификация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участников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закупки,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в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том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числе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наличие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у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них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финансовых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ресурсов,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на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праве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собственности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или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ином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законном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основании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оборудования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других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материальных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ресурсов,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опыта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работы,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связанного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с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предметом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контракта,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деловой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репутации,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специалистов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иных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работников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определенного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уровня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/>
          <w:bCs/>
          <w:color w:val="000000"/>
          <w:sz w:val="26"/>
          <w:szCs w:val="26"/>
        </w:rPr>
        <w:t>квалификации.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8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32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окончательных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числе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предельные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величины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значимости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каждого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устанавливаются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Постановлением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Правительства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РФ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28.11.2013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(Правилами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1085).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При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этом,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согласно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пункту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«оценка»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-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процесс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выявления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условиями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определения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поставщиков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(подрядчиков,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исполнителей)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порядке,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установленном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требованиями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лучших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условий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исполнения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контракта,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указанных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заявках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(предложениях)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которые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были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отклонены.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Исходя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из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совокупности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положений</w:t>
      </w:r>
      <w:r w:rsidR="00017147" w:rsidRPr="002C3819">
        <w:rPr>
          <w:color w:val="000000"/>
          <w:sz w:val="26"/>
          <w:szCs w:val="26"/>
        </w:rPr>
        <w:t xml:space="preserve"> </w:t>
      </w:r>
      <w:proofErr w:type="spellStart"/>
      <w:r w:rsidRPr="002C3819">
        <w:rPr>
          <w:color w:val="000000"/>
          <w:sz w:val="26"/>
          <w:szCs w:val="26"/>
        </w:rPr>
        <w:t>п.п</w:t>
      </w:r>
      <w:proofErr w:type="spellEnd"/>
      <w:r w:rsidRPr="002C3819">
        <w:rPr>
          <w:color w:val="000000"/>
          <w:sz w:val="26"/>
          <w:szCs w:val="26"/>
        </w:rPr>
        <w:t>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4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8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ст.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54.3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также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пункта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3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содержать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который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объективно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позволяет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выявить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лучшие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условия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исполнения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контракта,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указанных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заявках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(предложениях)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которые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были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отклонены.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должен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позволять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выявить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лучшее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условиях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исполнения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учетом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зависимости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между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присваиваемых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баллов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представляемыми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сведениями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соответствующему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показателю.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11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(предложений)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каждому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используется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100-балльная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шкала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Если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пунктом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настоящих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отношении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заказчиком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предусматриваются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каждого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устанавливается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его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значимость,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соответствии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которой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будет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производиться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оценка,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формула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расчета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баллов,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присуждаемых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таким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показателям,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шкала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предельных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величин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значимости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показателей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устанавливающая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интервалы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изменений,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определения.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(предложений)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proofErr w:type="spellStart"/>
      <w:r w:rsidRPr="002C3819">
        <w:rPr>
          <w:color w:val="000000"/>
          <w:sz w:val="26"/>
          <w:szCs w:val="26"/>
        </w:rPr>
        <w:t>нестоимостным</w:t>
      </w:r>
      <w:proofErr w:type="spellEnd"/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(показателям)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заказчик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вправе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устанавливать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предельно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необходимое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минимальное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максимальное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количественное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значение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качественных,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функциональных,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экологических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квалификационных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характеристик,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которые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подлежат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рамках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указанных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критериев.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этом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случае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(предложений)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таким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(показателям)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сделавшим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соответствующее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такому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значению,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лучшее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предложение,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присваивается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100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баллов.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lastRenderedPageBreak/>
        <w:t>Сумма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величин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значимости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показателей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составлять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100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процентов.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Согласно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п.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27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показателями</w:t>
      </w:r>
      <w:r w:rsidR="00017147" w:rsidRPr="002C3819">
        <w:rPr>
          <w:color w:val="000000"/>
          <w:sz w:val="26"/>
          <w:szCs w:val="26"/>
        </w:rPr>
        <w:t xml:space="preserve"> </w:t>
      </w:r>
      <w:proofErr w:type="spellStart"/>
      <w:r w:rsidRPr="002C3819">
        <w:rPr>
          <w:color w:val="000000"/>
          <w:sz w:val="26"/>
          <w:szCs w:val="26"/>
        </w:rPr>
        <w:t>нестоимостного</w:t>
      </w:r>
      <w:proofErr w:type="spellEnd"/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«квалификация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числе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наличие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финансовых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ресурсов,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оборудования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других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материальных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ресурсов,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принадлежащих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собственности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ином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законном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основании,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опыта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работы,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связанного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предметом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контракта,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деловой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репутации,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специалистов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работников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определенного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уровня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квалификации»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могут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быть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следующие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(с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учетом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особенностей,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предусмотренных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пунктом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27(1)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Правил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№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1085):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а)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квалификация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трудовых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ресурсов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(руководителей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ключевых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специалистов),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предлагаемых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выполнения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оказания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услуг;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б)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опыт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участника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по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успешной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поставке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товара,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выполнению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работ,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оказанию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услуг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сопоставимого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характера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и</w:t>
      </w:r>
      <w:r w:rsidR="00017147" w:rsidRPr="002C3819">
        <w:rPr>
          <w:b/>
          <w:color w:val="000000"/>
          <w:sz w:val="26"/>
          <w:szCs w:val="26"/>
        </w:rPr>
        <w:t xml:space="preserve"> </w:t>
      </w:r>
      <w:r w:rsidRPr="002C3819">
        <w:rPr>
          <w:b/>
          <w:color w:val="000000"/>
          <w:sz w:val="26"/>
          <w:szCs w:val="26"/>
        </w:rPr>
        <w:t>объема</w:t>
      </w:r>
      <w:r w:rsidRPr="002C3819">
        <w:rPr>
          <w:color w:val="000000"/>
          <w:sz w:val="26"/>
          <w:szCs w:val="26"/>
        </w:rPr>
        <w:t>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в)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обеспеченность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материально-техническими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ресурсами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части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наличия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собственных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арендованных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производственных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мощностей,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технологического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оборудования,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необходимых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выполнения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оказания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услуг;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г)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обеспеченность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трудовыми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ресурсами;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bCs/>
          <w:color w:val="000000"/>
          <w:sz w:val="26"/>
          <w:szCs w:val="26"/>
        </w:rPr>
        <w:t>д)</w:t>
      </w:r>
      <w:r w:rsidR="00017147" w:rsidRPr="002C3819">
        <w:rPr>
          <w:b/>
          <w:bCs/>
          <w:color w:val="000000"/>
          <w:sz w:val="26"/>
          <w:szCs w:val="26"/>
        </w:rPr>
        <w:t xml:space="preserve"> </w:t>
      </w:r>
      <w:r w:rsidRPr="002C3819">
        <w:rPr>
          <w:bCs/>
          <w:color w:val="000000"/>
          <w:sz w:val="26"/>
          <w:szCs w:val="26"/>
        </w:rPr>
        <w:t>деловая</w:t>
      </w:r>
      <w:r w:rsidR="00017147" w:rsidRPr="002C3819">
        <w:rPr>
          <w:bCs/>
          <w:color w:val="000000"/>
          <w:sz w:val="26"/>
          <w:szCs w:val="26"/>
        </w:rPr>
        <w:t xml:space="preserve"> </w:t>
      </w:r>
      <w:r w:rsidRPr="002C3819">
        <w:rPr>
          <w:bCs/>
          <w:color w:val="000000"/>
          <w:sz w:val="26"/>
          <w:szCs w:val="26"/>
        </w:rPr>
        <w:t>репутация</w:t>
      </w:r>
      <w:r w:rsidR="00017147" w:rsidRPr="002C3819">
        <w:rPr>
          <w:bCs/>
          <w:color w:val="000000"/>
          <w:sz w:val="26"/>
          <w:szCs w:val="26"/>
        </w:rPr>
        <w:t xml:space="preserve"> </w:t>
      </w:r>
      <w:r w:rsidRPr="002C3819">
        <w:rPr>
          <w:bCs/>
          <w:color w:val="000000"/>
          <w:sz w:val="26"/>
          <w:szCs w:val="26"/>
        </w:rPr>
        <w:t>участника</w:t>
      </w:r>
      <w:r w:rsidR="00017147" w:rsidRPr="002C3819">
        <w:rPr>
          <w:bCs/>
          <w:color w:val="000000"/>
          <w:sz w:val="26"/>
          <w:szCs w:val="26"/>
        </w:rPr>
        <w:t xml:space="preserve"> </w:t>
      </w:r>
      <w:r w:rsidRPr="002C3819">
        <w:rPr>
          <w:bCs/>
          <w:color w:val="000000"/>
          <w:sz w:val="26"/>
          <w:szCs w:val="26"/>
        </w:rPr>
        <w:t>закупки</w:t>
      </w:r>
      <w:r w:rsidRPr="002C3819">
        <w:rPr>
          <w:b/>
          <w:bCs/>
          <w:color w:val="000000"/>
          <w:sz w:val="26"/>
          <w:szCs w:val="26"/>
        </w:rPr>
        <w:t>.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Таким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образом,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положениями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законодательства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контрактной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системе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предусмотрена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«опыт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успешной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поставке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товара,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выполнению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работ,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оказанию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услуг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сопоставимого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характера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объема»,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следовательно,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случае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использования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такого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показателя,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должна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содержать: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-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предмет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позволяющий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определить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исчерпывающий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перечень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сведений,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подлежащих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комиссией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соответственно,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подлежащих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представлению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своих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заявках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получения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данному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(показателю);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-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зависимость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(формула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расчета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баллов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шкала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между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количеством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присваиваемых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баллов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представляемыми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сведениями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данному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критерию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(показателю)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случае,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если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возможна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количественная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оценка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представляемых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сведений;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-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инструкцию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заполнению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заявки,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позволяющую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определить,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какие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именно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сведения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подлежат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описанию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представлению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участниками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закупки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конкурсной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комиссией.</w:t>
      </w:r>
      <w:r w:rsidR="00017147" w:rsidRPr="002C3819">
        <w:rPr>
          <w:color w:val="000000"/>
          <w:sz w:val="26"/>
          <w:szCs w:val="26"/>
        </w:rPr>
        <w:t xml:space="preserve">             </w:t>
      </w:r>
    </w:p>
    <w:p w:rsidR="00ED0596" w:rsidRPr="002C3819" w:rsidRDefault="00ED0596" w:rsidP="00ED0596">
      <w:pPr>
        <w:pStyle w:val="a5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2C3819">
        <w:rPr>
          <w:color w:val="000000"/>
          <w:sz w:val="26"/>
          <w:szCs w:val="26"/>
        </w:rPr>
        <w:t>Конкурсной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документацией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в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рамках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спорного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показателя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установлен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следующий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порядок</w:t>
      </w:r>
      <w:r w:rsidR="00017147" w:rsidRPr="002C3819">
        <w:rPr>
          <w:color w:val="000000"/>
          <w:sz w:val="26"/>
          <w:szCs w:val="26"/>
        </w:rPr>
        <w:t xml:space="preserve"> </w:t>
      </w:r>
      <w:r w:rsidRPr="002C3819">
        <w:rPr>
          <w:color w:val="000000"/>
          <w:sz w:val="26"/>
          <w:szCs w:val="26"/>
        </w:rPr>
        <w:t>оценки:</w:t>
      </w:r>
    </w:p>
    <w:p w:rsidR="00ED0596" w:rsidRPr="002C3819" w:rsidRDefault="00ED0596" w:rsidP="00ED0596">
      <w:pPr>
        <w:pStyle w:val="2"/>
        <w:numPr>
          <w:ilvl w:val="0"/>
          <w:numId w:val="0"/>
        </w:numPr>
        <w:spacing w:before="0"/>
        <w:ind w:left="851"/>
        <w:rPr>
          <w:b/>
          <w:sz w:val="26"/>
          <w:szCs w:val="26"/>
        </w:rPr>
      </w:pPr>
      <w:r w:rsidRPr="002C3819">
        <w:rPr>
          <w:b/>
          <w:sz w:val="26"/>
          <w:szCs w:val="26"/>
          <w:lang w:bidi="ru-RU"/>
        </w:rPr>
        <w:t>«</w:t>
      </w:r>
      <w:proofErr w:type="gramStart"/>
      <w:r w:rsidRPr="002C3819">
        <w:rPr>
          <w:b/>
          <w:sz w:val="26"/>
          <w:szCs w:val="26"/>
          <w:lang w:bidi="ru-RU"/>
        </w:rPr>
        <w:t>13.</w:t>
      </w:r>
      <w:r w:rsidRPr="002C3819">
        <w:rPr>
          <w:b/>
          <w:sz w:val="26"/>
          <w:szCs w:val="26"/>
        </w:rPr>
        <w:t>Критерий</w:t>
      </w:r>
      <w:proofErr w:type="gramEnd"/>
      <w:r w:rsidR="00017147" w:rsidRPr="002C3819">
        <w:rPr>
          <w:b/>
          <w:sz w:val="26"/>
          <w:szCs w:val="26"/>
        </w:rPr>
        <w:t xml:space="preserve"> </w:t>
      </w:r>
      <w:r w:rsidRPr="002C3819">
        <w:rPr>
          <w:b/>
          <w:sz w:val="26"/>
          <w:szCs w:val="26"/>
        </w:rPr>
        <w:t>2.Оценка</w:t>
      </w:r>
      <w:r w:rsidR="00017147" w:rsidRPr="002C3819">
        <w:rPr>
          <w:b/>
          <w:sz w:val="26"/>
          <w:szCs w:val="26"/>
        </w:rPr>
        <w:t xml:space="preserve"> </w:t>
      </w:r>
      <w:r w:rsidRPr="002C3819">
        <w:rPr>
          <w:b/>
          <w:sz w:val="26"/>
          <w:szCs w:val="26"/>
        </w:rPr>
        <w:t>заявок</w:t>
      </w:r>
      <w:r w:rsidR="00017147" w:rsidRPr="002C3819">
        <w:rPr>
          <w:b/>
          <w:sz w:val="26"/>
          <w:szCs w:val="26"/>
        </w:rPr>
        <w:t xml:space="preserve"> </w:t>
      </w:r>
      <w:r w:rsidRPr="002C3819">
        <w:rPr>
          <w:b/>
          <w:sz w:val="26"/>
          <w:szCs w:val="26"/>
        </w:rPr>
        <w:t>по</w:t>
      </w:r>
      <w:r w:rsidR="00017147" w:rsidRPr="002C3819">
        <w:rPr>
          <w:b/>
          <w:sz w:val="26"/>
          <w:szCs w:val="26"/>
        </w:rPr>
        <w:t xml:space="preserve"> </w:t>
      </w:r>
      <w:proofErr w:type="spellStart"/>
      <w:r w:rsidRPr="002C3819">
        <w:rPr>
          <w:b/>
          <w:sz w:val="26"/>
          <w:szCs w:val="26"/>
        </w:rPr>
        <w:t>нестоимостным</w:t>
      </w:r>
      <w:proofErr w:type="spellEnd"/>
      <w:r w:rsidR="00017147" w:rsidRPr="002C3819">
        <w:rPr>
          <w:b/>
          <w:sz w:val="26"/>
          <w:szCs w:val="26"/>
        </w:rPr>
        <w:t xml:space="preserve"> </w:t>
      </w:r>
      <w:r w:rsidRPr="002C3819">
        <w:rPr>
          <w:b/>
          <w:sz w:val="26"/>
          <w:szCs w:val="26"/>
        </w:rPr>
        <w:t>критериям.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оцениваются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нестоимостному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оценки: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«Квалификация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числе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финансовых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собственности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законном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оборудования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других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материальных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деловой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репутации,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специалистов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уровня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квалификации»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</w:t>
      </w:r>
      <w:bookmarkStart w:id="1" w:name="_Hlk59054949"/>
      <w:r w:rsidRPr="002C3819">
        <w:rPr>
          <w:rFonts w:eastAsia="Calibri"/>
          <w:color w:val="000000"/>
          <w:sz w:val="26"/>
          <w:szCs w:val="26"/>
          <w:lang w:eastAsia="en-US"/>
        </w:rPr>
        <w:t>НЦБi2</w:t>
      </w:r>
      <w:bookmarkEnd w:id="1"/>
      <w:r w:rsidRPr="002C3819">
        <w:rPr>
          <w:rFonts w:eastAsia="Calibri"/>
          <w:color w:val="000000"/>
          <w:sz w:val="26"/>
          <w:szCs w:val="26"/>
          <w:lang w:eastAsia="en-US"/>
        </w:rPr>
        <w:t>).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получения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рейтинга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«Квалификация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числе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финансовых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оборудования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других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материальных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принадлежащих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собственности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законном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деловой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lastRenderedPageBreak/>
        <w:t>репутации,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специалистов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уровня»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(НЦБi2)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баллах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умножается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коэффициент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значимости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0,4.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C3819">
        <w:rPr>
          <w:rFonts w:eastAsia="Calibri"/>
          <w:bCs/>
          <w:sz w:val="26"/>
          <w:szCs w:val="26"/>
          <w:u w:val="single"/>
          <w:lang w:eastAsia="en-US"/>
        </w:rPr>
        <w:t>13.1.1.</w:t>
      </w:r>
      <w:r w:rsidR="00017147" w:rsidRPr="002C3819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bookmarkStart w:id="2" w:name="_Hlk59050760"/>
      <w:r w:rsidRPr="002C3819">
        <w:rPr>
          <w:rFonts w:eastAsia="Calibri"/>
          <w:bCs/>
          <w:sz w:val="26"/>
          <w:szCs w:val="26"/>
          <w:u w:val="single"/>
          <w:lang w:eastAsia="en-US"/>
        </w:rPr>
        <w:t>Показатель</w:t>
      </w:r>
      <w:r w:rsidR="00017147" w:rsidRPr="002C3819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proofErr w:type="gramStart"/>
      <w:r w:rsidRPr="002C3819">
        <w:rPr>
          <w:rFonts w:eastAsia="Calibri"/>
          <w:bCs/>
          <w:sz w:val="26"/>
          <w:szCs w:val="26"/>
          <w:u w:val="single"/>
          <w:lang w:eastAsia="en-US"/>
        </w:rPr>
        <w:t>1:</w:t>
      </w:r>
      <w:bookmarkStart w:id="3" w:name="_Hlk59053471"/>
      <w:r w:rsidRPr="002C3819">
        <w:rPr>
          <w:rFonts w:eastAsia="Calibri"/>
          <w:sz w:val="26"/>
          <w:szCs w:val="26"/>
          <w:lang w:eastAsia="en-US"/>
        </w:rPr>
        <w:t>Наличие</w:t>
      </w:r>
      <w:proofErr w:type="gram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успешному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(достижение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ресурса)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объема</w:t>
      </w:r>
      <w:bookmarkEnd w:id="3"/>
      <w:r w:rsidRPr="002C3819">
        <w:rPr>
          <w:rFonts w:eastAsia="Calibri"/>
          <w:bCs/>
          <w:sz w:val="26"/>
          <w:szCs w:val="26"/>
          <w:lang w:eastAsia="en-US"/>
        </w:rPr>
        <w:t>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(Количество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НЦБi</w:t>
      </w:r>
      <w:proofErr w:type="spellEnd"/>
      <w:r w:rsidRPr="002C3819">
        <w:rPr>
          <w:rFonts w:eastAsia="Calibri"/>
          <w:color w:val="000000"/>
          <w:sz w:val="26"/>
          <w:szCs w:val="26"/>
          <w:lang w:eastAsia="en-US"/>
        </w:rPr>
        <w:t>)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Значимость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30%.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Коэффициент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значимости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0,3.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рассматривается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опыте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успешному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представленная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электронной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подлежит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совокупная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сумма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проведения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энергосберегающих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мероприятий,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момент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подачи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(выполнению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выраженного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совокупной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суммой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денежном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выражении)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ресурса,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подтвержденной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подписанными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Актами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реализации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действующих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(контрактов),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цели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освещения,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рамках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закупок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порядке,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установленном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 </w:t>
      </w:r>
      <w:r w:rsidRPr="002C3819">
        <w:rPr>
          <w:rFonts w:eastAsia="Calibri"/>
          <w:sz w:val="26"/>
          <w:szCs w:val="26"/>
          <w:lang w:eastAsia="en-US"/>
        </w:rPr>
        <w:t>Федеральным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законом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05.04.2013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№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44-ФЗ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системе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сфере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закупок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товаров,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обеспечения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государственных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муниципальных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нужд»,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Федеральным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законом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18.07.2011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№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223-ФЗ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закупках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товаров,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отдельными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видами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юридических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лиц».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Учёту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подлежат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только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Акты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энергосервисным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договорам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(контрактам),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отношении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имеются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нижеуказанные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документы: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1)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совершение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действий,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цели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освещения,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 </w:t>
      </w:r>
      <w:r w:rsidRPr="002C3819">
        <w:rPr>
          <w:rFonts w:eastAsia="Calibri"/>
          <w:sz w:val="26"/>
          <w:szCs w:val="26"/>
          <w:lang w:eastAsia="en-US"/>
        </w:rPr>
        <w:t>(контракт)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расторгнут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день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подачи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что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подтверждается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информационной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справкой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указанием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реестрового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номера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Едином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государственных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муниципальных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(договоров),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https://zakupki.gov.ru/epz/contract/search/results.html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результатам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https://zakupki.gov.ru/epz/contractfz223/search/results.html,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даты,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наименования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наименование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и/или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совокупная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сумма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экономии;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2)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совокупная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сумма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подтверждена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копиями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предусмотрены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этим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(контрактом)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(Актами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свидетельствовать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показателях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денежном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выражении,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Исполнителем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проведения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энергосберегающих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мероприятий.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Подтверждение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оформляется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виде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таблицы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4" w:name="_Hlk59052513"/>
      <w:r w:rsidRPr="002C3819">
        <w:rPr>
          <w:rFonts w:eastAsia="Calibri"/>
          <w:color w:val="000000"/>
          <w:sz w:val="26"/>
          <w:szCs w:val="26"/>
          <w:lang w:eastAsia="en-US"/>
        </w:rPr>
        <w:t>форме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2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Приложения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№5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документации</w:t>
      </w:r>
      <w:bookmarkEnd w:id="4"/>
      <w:r w:rsidRPr="002C3819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lastRenderedPageBreak/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энергосервисный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bookmarkStart w:id="5" w:name="_Hlk59052838"/>
      <w:r w:rsidRPr="002C3819">
        <w:rPr>
          <w:rFonts w:eastAsia="Calibri"/>
          <w:sz w:val="26"/>
          <w:szCs w:val="26"/>
          <w:lang w:eastAsia="en-US"/>
        </w:rPr>
        <w:t>размещен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единой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информационной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системе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сфере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закупок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(ЕИС)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включен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https://zakupki.gov.ru/epz/contract/search/results.html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результатам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адресу: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https://zakupki.gov.ru/epz/contractfz223/search/results.html</w:t>
      </w:r>
      <w:bookmarkEnd w:id="5"/>
      <w:r w:rsidRPr="002C3819">
        <w:rPr>
          <w:rFonts w:eastAsia="Calibri"/>
          <w:sz w:val="26"/>
          <w:szCs w:val="26"/>
          <w:lang w:eastAsia="en-US"/>
        </w:rPr>
        <w:t>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вторую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часть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требуется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вкладывать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контрактов/договоров,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достаточно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номер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извещения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номер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энергосервисного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контракта/договора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(указанный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соответствующем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Реестре),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же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ссылку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ЕИС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размещен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энергосервисный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контракт/договор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соответствующем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условии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возможности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копирования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электронного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адреса).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отсутствия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энергосервисного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ЕИС,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вторую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часть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вкладывает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(договоров)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приложениями,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акты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периоды.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Представление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предлагаемой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форме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отказа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допуске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закупке.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bCs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документов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представлены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в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виде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неповторяющихся,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bCs/>
          <w:sz w:val="26"/>
          <w:szCs w:val="26"/>
          <w:lang w:eastAsia="en-US"/>
        </w:rPr>
        <w:t>полночитаемых</w:t>
      </w:r>
      <w:proofErr w:type="spellEnd"/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копий,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видны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необходимые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сведения,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подписи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и</w:t>
      </w:r>
      <w:r w:rsidR="00017147" w:rsidRPr="002C3819">
        <w:rPr>
          <w:rFonts w:eastAsia="Calibri"/>
          <w:bCs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lang w:eastAsia="en-US"/>
        </w:rPr>
        <w:t>печати.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предоставления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неполного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комплекта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(договору)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и/или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предоставления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«Опыт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успешной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поставке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товара,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выполнению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характера»,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комиссия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будет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учитывать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объем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(контракту).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Оценка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заявок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указанному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осуществляется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пунктом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24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Правил.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Лучшим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условием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успешному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(достижение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ресурса)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характера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объема»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наибольшее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абзацем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вторым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пункта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11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Правил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установлено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значение,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равное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установленному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4.1.1.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настоящей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документации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минимальному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размеруэкономии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(электрической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энергии)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цели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освещения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весь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период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действия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контракта:</w:t>
      </w:r>
    </w:p>
    <w:p w:rsidR="00ED0596" w:rsidRPr="002C3819" w:rsidRDefault="00ED0596" w:rsidP="00ED059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К</w:t>
      </w:r>
      <w:r w:rsidRPr="002C3819">
        <w:rPr>
          <w:rFonts w:eastAsia="Calibri"/>
          <w:color w:val="000000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color w:val="000000"/>
          <w:sz w:val="26"/>
          <w:szCs w:val="26"/>
          <w:lang w:eastAsia="en-US"/>
        </w:rPr>
        <w:t>=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053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253,91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рубля.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ED0596" w:rsidRPr="002C3819" w:rsidRDefault="00ED0596" w:rsidP="00ED0596">
      <w:pPr>
        <w:spacing w:line="276" w:lineRule="auto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успешному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оказанию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(достижение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ресурса)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сопоставимого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характера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объема»,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определяется:</w:t>
      </w:r>
    </w:p>
    <w:p w:rsidR="00ED0596" w:rsidRPr="002C3819" w:rsidRDefault="00ED0596" w:rsidP="00ED059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proofErr w:type="gramStart"/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Pr="002C3819">
        <w:rPr>
          <w:rFonts w:eastAsia="Calibri"/>
          <w:sz w:val="26"/>
          <w:szCs w:val="26"/>
          <w:lang w:eastAsia="en-US"/>
        </w:rPr>
        <w:t>&lt;</w:t>
      </w:r>
      <w:proofErr w:type="spellStart"/>
      <w:proofErr w:type="gramEnd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НЦБ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/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Pr="002C3819">
        <w:rPr>
          <w:rFonts w:eastAsia="Calibri"/>
          <w:sz w:val="26"/>
          <w:szCs w:val="26"/>
          <w:lang w:eastAsia="en-US"/>
        </w:rPr>
        <w:t>);</w:t>
      </w:r>
    </w:p>
    <w:p w:rsidR="00ED0596" w:rsidRPr="002C3819" w:rsidRDefault="00ED0596" w:rsidP="00ED0596">
      <w:pPr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б)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≥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jc w:val="center"/>
        <w:rPr>
          <w:rFonts w:eastAsia="Calibri"/>
          <w:sz w:val="26"/>
          <w:szCs w:val="26"/>
          <w:lang w:eastAsia="en-US"/>
        </w:rPr>
      </w:pPr>
      <w:bookmarkStart w:id="6" w:name="_Hlk59052024"/>
      <w:proofErr w:type="spellStart"/>
      <w:r w:rsidRPr="002C3819">
        <w:rPr>
          <w:rFonts w:eastAsia="Calibri"/>
          <w:sz w:val="26"/>
          <w:szCs w:val="26"/>
          <w:lang w:eastAsia="en-US"/>
        </w:rPr>
        <w:lastRenderedPageBreak/>
        <w:t>НЦБ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bookmarkEnd w:id="6"/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/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);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НЦБ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100,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где: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коэффициент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значимости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показателя;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(предложение)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оценивается;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сделанных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характеристик;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НЦБ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баллов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(показателю),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участникам,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превышает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значение,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установленное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отсутствии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каких-либо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подтверждающих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присуждается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баллов.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выявлении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предоставления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недостоверной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представленных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комиссии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будет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осуществлять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действия,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предусмотренные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законодательством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Российской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Федерации.</w:t>
      </w:r>
    </w:p>
    <w:p w:rsidR="00ED0596" w:rsidRPr="002C3819" w:rsidRDefault="00ED0596" w:rsidP="00ED0596">
      <w:pPr>
        <w:numPr>
          <w:ilvl w:val="2"/>
          <w:numId w:val="0"/>
        </w:numPr>
        <w:tabs>
          <w:tab w:val="left" w:pos="1418"/>
        </w:tabs>
        <w:ind w:firstLine="567"/>
        <w:contextualSpacing/>
        <w:jc w:val="both"/>
        <w:outlineLvl w:val="2"/>
        <w:rPr>
          <w:sz w:val="26"/>
          <w:szCs w:val="26"/>
        </w:rPr>
      </w:pPr>
      <w:r w:rsidRPr="002C3819">
        <w:rPr>
          <w:sz w:val="26"/>
          <w:szCs w:val="26"/>
        </w:rPr>
        <w:t>Представленные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копии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документов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должны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быть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различимы,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т.е.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должны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обеспечивать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возможность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свободного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текста,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всех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реквизитов,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дат,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виз,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резолюций,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надписей,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печатей,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штампов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отметок.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Файл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иметь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название,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отражающее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суть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вложенного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документа.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Например,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название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может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таким: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«Договор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25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12.12.2019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года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7л».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открываться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просмотр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стандартными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средствами,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без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предварительного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вывода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экран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каких-либо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предупреждений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сообщений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ошибках.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допускается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файлах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устанавливать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опцию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запрета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печати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содержимого,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также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нельзя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делать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защиту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паролем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открытие.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состоящие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нескольких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страниц,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сканироваться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многостраничном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режиме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(то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есть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оцифровки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получиться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один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файл,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содержащий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образы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всех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страниц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документа).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Акты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достигнутой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экономии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отчетный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период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энергосервисным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договорам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(контрактам),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которым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момент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проведения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процедуры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идут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судебные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разбирательства,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и/или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существуют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судебные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решения,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принятые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пользу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и/или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присутствуют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неустойки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(штрафы,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пени)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неисполнением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ненадлежащим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исполнением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обязательств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(договору)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будут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учитываться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расчете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баллов.</w:t>
      </w:r>
    </w:p>
    <w:p w:rsidR="00ED0596" w:rsidRPr="002C3819" w:rsidRDefault="00ED0596" w:rsidP="00ED0596">
      <w:pPr>
        <w:numPr>
          <w:ilvl w:val="2"/>
          <w:numId w:val="0"/>
        </w:numPr>
        <w:tabs>
          <w:tab w:val="left" w:pos="1418"/>
        </w:tabs>
        <w:ind w:firstLine="567"/>
        <w:contextualSpacing/>
        <w:jc w:val="both"/>
        <w:outlineLvl w:val="2"/>
        <w:rPr>
          <w:sz w:val="26"/>
          <w:szCs w:val="26"/>
        </w:rPr>
      </w:pPr>
      <w:bookmarkStart w:id="7" w:name="_Hlk59053709"/>
      <w:r w:rsidRPr="002C3819">
        <w:rPr>
          <w:sz w:val="26"/>
          <w:szCs w:val="26"/>
        </w:rPr>
        <w:t>Непредставление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предложений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данному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показателю;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отсутствие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составе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информации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соответствии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условиями,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указанными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конкурсной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документации;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предоставление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составе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информации,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соответствующей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условиям,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указанным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конкурсной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документации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части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её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чтения,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открывания,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печати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трактуются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как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«Отсутствие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предложений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показателю»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являются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основанием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для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отказа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допуске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участию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конкурсе,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этом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случае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данному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оцениваться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будет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(участник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получит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0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баллов).</w:t>
      </w:r>
      <w:bookmarkEnd w:id="2"/>
      <w:bookmarkEnd w:id="7"/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13.1.2.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bCs/>
          <w:sz w:val="26"/>
          <w:szCs w:val="26"/>
          <w:u w:val="single"/>
          <w:lang w:eastAsia="en-US"/>
        </w:rPr>
        <w:t>Показатель</w:t>
      </w:r>
      <w:r w:rsidR="00017147" w:rsidRPr="002C3819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proofErr w:type="gramStart"/>
      <w:r w:rsidRPr="002C3819">
        <w:rPr>
          <w:rFonts w:eastAsia="Calibri"/>
          <w:bCs/>
          <w:sz w:val="26"/>
          <w:szCs w:val="26"/>
          <w:u w:val="single"/>
          <w:lang w:eastAsia="en-US"/>
        </w:rPr>
        <w:t>2:</w:t>
      </w:r>
      <w:bookmarkStart w:id="8" w:name="_Hlk59052623"/>
      <w:r w:rsidRPr="002C3819">
        <w:rPr>
          <w:rFonts w:eastAsia="Calibri"/>
          <w:sz w:val="26"/>
          <w:szCs w:val="26"/>
          <w:lang w:eastAsia="en-US"/>
        </w:rPr>
        <w:t>Количество</w:t>
      </w:r>
      <w:proofErr w:type="gram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внутреннего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освещения</w:t>
      </w:r>
      <w:bookmarkEnd w:id="8"/>
      <w:r w:rsidRPr="002C3819">
        <w:rPr>
          <w:rFonts w:eastAsia="Calibri"/>
          <w:bCs/>
          <w:sz w:val="26"/>
          <w:szCs w:val="26"/>
          <w:lang w:eastAsia="en-US"/>
        </w:rPr>
        <w:t>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lastRenderedPageBreak/>
        <w:t>(Количество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9" w:name="_Hlk59054093"/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НЦБОi</w:t>
      </w:r>
      <w:bookmarkEnd w:id="9"/>
      <w:proofErr w:type="spellEnd"/>
      <w:r w:rsidRPr="002C3819">
        <w:rPr>
          <w:rFonts w:eastAsia="Calibri"/>
          <w:color w:val="000000"/>
          <w:sz w:val="26"/>
          <w:szCs w:val="26"/>
          <w:lang w:eastAsia="en-US"/>
        </w:rPr>
        <w:t>).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Значимость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70%.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Коэффициент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значимости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0,7.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«Количество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освещения»».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оформляется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виде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таблицы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3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Приложения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№5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документации.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Каждый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соответствовать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одновременно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следующим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условиям: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•</w:t>
      </w:r>
      <w:r w:rsidRPr="002C3819">
        <w:rPr>
          <w:rFonts w:eastAsia="Calibri"/>
          <w:sz w:val="26"/>
          <w:szCs w:val="26"/>
          <w:lang w:eastAsia="en-US"/>
        </w:rPr>
        <w:tab/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Энергосервисный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расторгнут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дату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размещения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официальном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сайте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http://zakupki.gov.ru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извещения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проведении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настоящего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конкурса.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•</w:t>
      </w:r>
      <w:r w:rsidRPr="002C3819">
        <w:rPr>
          <w:rFonts w:eastAsia="Calibri"/>
          <w:sz w:val="26"/>
          <w:szCs w:val="26"/>
          <w:lang w:eastAsia="en-US"/>
        </w:rPr>
        <w:tab/>
        <w:t>Предметом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энергетических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ресурсов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освещения.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Представление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предлагаемой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основанием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отказа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допуске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Подтверждение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(контрактов)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приложениями,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приведенных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таблице,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осуществляется: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энергосервисный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(договор)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размещен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единой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информационной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системе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сфере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закупок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(ЕИС)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включен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http://zakupki.gov.ru/epz/contract/quicksearch/search.html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договоров,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результатам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http://zakupki.gov.ru/epz/contractfz223/quicksearch/search.html,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вторую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часть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требуется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вкладывать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контрактов/договоров,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достаточно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номер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извещения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номер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энергосервисно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го</w:t>
      </w:r>
      <w:bookmarkStart w:id="10" w:name="_Hlk59053607"/>
      <w:r w:rsidRPr="002C3819">
        <w:rPr>
          <w:rFonts w:eastAsia="Calibri"/>
          <w:sz w:val="26"/>
          <w:szCs w:val="26"/>
          <w:lang w:eastAsia="en-US"/>
        </w:rPr>
        <w:t>договора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bookmarkEnd w:id="10"/>
      <w:r w:rsidRPr="002C3819">
        <w:rPr>
          <w:rFonts w:eastAsia="Calibri"/>
          <w:sz w:val="26"/>
          <w:szCs w:val="26"/>
          <w:lang w:eastAsia="en-US"/>
        </w:rPr>
        <w:t>(указанный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соответствующем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Реестре),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же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ссылку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ЕИС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размещен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энергосервисныйдоговора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соответствующем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Реестре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условии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возможности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копирования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электронного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адреса).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отсутствия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энергосервисногодоговора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ЕИС,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вторую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часть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вкладывает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энергосервисныхдоговора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(контракта)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приложениями.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Представленные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копии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различимы,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т.е.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обеспечивать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возможность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свободного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чтения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текста,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реквизитов,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дат,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виз,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резолюций,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надписей,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печатей,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штампов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отметок.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lastRenderedPageBreak/>
        <w:t>Файл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иметь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название,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отражающее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вложенного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Например,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название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может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быть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таким: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"Договор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25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12.12.2019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года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7л.".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открываться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просмотр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стандартными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средствами,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без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предварительного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вывода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экран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каких-либо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предупреждений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сообщений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ошибках.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допускается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файлах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устанавливать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опцию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запрета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печати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содержимого,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также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нельзя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делать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защиту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паролем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открытие.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Документы,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состоящие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нескольких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страниц,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должны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сканироваться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многостраничном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режиме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(то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есть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после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оцифровки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должен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получиться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один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файл,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содержащий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образы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всех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страниц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документа).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Представление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предлагаемой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основанием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отказа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допуске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закупке.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Непредставление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показателю;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отсутствие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условиями,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указанными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документации;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предоставление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соответствующей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условиям,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указанным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документации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части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её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чтения,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открывания,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печати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трактуются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как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«Отсутствие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показателю»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являются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основанием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для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отказа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допуске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данному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оцениваться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будет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(участник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получит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баллов)..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Оценка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заявок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указанному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осуществляется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пунктом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24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Правил.</w:t>
      </w:r>
    </w:p>
    <w:p w:rsidR="00ED0596" w:rsidRPr="002C3819" w:rsidRDefault="00ED0596" w:rsidP="00ED0596">
      <w:pPr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Лучшим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условием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внутреннего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освещения»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наибольшее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показателя,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Заказчиком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соответствии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абзацем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вторым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пункта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11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Правил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установлено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значение,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равное:</w:t>
      </w:r>
    </w:p>
    <w:p w:rsidR="00ED0596" w:rsidRPr="002C3819" w:rsidRDefault="00ED0596" w:rsidP="00ED059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К</w:t>
      </w:r>
      <w:r w:rsidRPr="002C3819">
        <w:rPr>
          <w:rFonts w:eastAsia="Calibri"/>
          <w:color w:val="000000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color w:val="000000"/>
          <w:sz w:val="26"/>
          <w:szCs w:val="26"/>
          <w:lang w:eastAsia="en-US"/>
        </w:rPr>
        <w:t>=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22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договора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(контракта).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ED0596" w:rsidRPr="002C3819" w:rsidRDefault="00ED0596" w:rsidP="00ED0596">
      <w:pPr>
        <w:spacing w:line="276" w:lineRule="auto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внутреннего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освещения»,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определяется:</w:t>
      </w:r>
    </w:p>
    <w:p w:rsidR="00ED0596" w:rsidRPr="002C3819" w:rsidRDefault="00ED0596" w:rsidP="00ED059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а)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proofErr w:type="gramStart"/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Pr="002C3819">
        <w:rPr>
          <w:rFonts w:eastAsia="Calibri"/>
          <w:sz w:val="26"/>
          <w:szCs w:val="26"/>
          <w:lang w:eastAsia="en-US"/>
        </w:rPr>
        <w:t>&lt;</w:t>
      </w:r>
      <w:proofErr w:type="spellStart"/>
      <w:proofErr w:type="gramEnd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НЦБОi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/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Pr="002C3819">
        <w:rPr>
          <w:rFonts w:eastAsia="Calibri"/>
          <w:sz w:val="26"/>
          <w:szCs w:val="26"/>
          <w:lang w:eastAsia="en-US"/>
        </w:rPr>
        <w:t>);</w:t>
      </w:r>
    </w:p>
    <w:p w:rsidR="00ED0596" w:rsidRPr="002C3819" w:rsidRDefault="00ED0596" w:rsidP="00ED0596">
      <w:pPr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б)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случае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если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≥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НЦБОi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/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Pr="002C3819">
        <w:rPr>
          <w:rFonts w:eastAsia="Calibri"/>
          <w:sz w:val="26"/>
          <w:szCs w:val="26"/>
          <w:lang w:eastAsia="en-US"/>
        </w:rPr>
        <w:t>);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lastRenderedPageBreak/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sz w:val="26"/>
          <w:szCs w:val="26"/>
          <w:lang w:eastAsia="en-US"/>
        </w:rPr>
        <w:t>НЦБО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=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x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100,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где: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КЗ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коэффициент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значимости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показателя;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заявка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(предложение)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которого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оценивается;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из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оценки,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сделанных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участниками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закупки;</w:t>
      </w:r>
    </w:p>
    <w:p w:rsidR="00ED0596" w:rsidRPr="002C3819" w:rsidRDefault="00ED0596" w:rsidP="00ED059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К</w:t>
      </w:r>
      <w:r w:rsidRPr="002C3819">
        <w:rPr>
          <w:rFonts w:eastAsia="Calibri"/>
          <w:sz w:val="26"/>
          <w:szCs w:val="26"/>
          <w:vertAlign w:val="superscript"/>
          <w:lang w:eastAsia="en-US"/>
        </w:rPr>
        <w:t>пред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характеристик;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НЦБО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max</w:t>
      </w:r>
      <w:proofErr w:type="spellEnd"/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-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баллов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оценки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(показателю),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участникам,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превышает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предельно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необходимое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максимальное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значение,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установленное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заказчиком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отсутствии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составе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каких-либо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подтверждающих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заявке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этому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присуждается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0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баллов.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При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выявлении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фактов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предоставления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недостоверной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информации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в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представленных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документах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конкурсная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комиссии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будет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осуществлять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действия,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предусмотренные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законодательством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Российской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Федерации.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13.1.3.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i-й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заявке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«Квалификация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числе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финансовых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оборудования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других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материальных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принадлежащих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собственности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законном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деловой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репутации,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специалистов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уровня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квалификации»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НЦБi2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=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11" w:name="_Hlk59055059"/>
      <w:proofErr w:type="spellStart"/>
      <w:r w:rsidRPr="002C3819">
        <w:rPr>
          <w:rFonts w:eastAsia="Calibri"/>
          <w:sz w:val="26"/>
          <w:szCs w:val="26"/>
          <w:lang w:eastAsia="en-US"/>
        </w:rPr>
        <w:t>НЦБ</w:t>
      </w:r>
      <w:proofErr w:type="gramStart"/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bookmarkEnd w:id="11"/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2C3819">
        <w:rPr>
          <w:rFonts w:eastAsia="Calibri"/>
          <w:color w:val="000000"/>
          <w:sz w:val="26"/>
          <w:szCs w:val="26"/>
          <w:lang w:eastAsia="en-US"/>
        </w:rPr>
        <w:t>+</w:t>
      </w:r>
      <w:bookmarkStart w:id="12" w:name="_Hlk59055072"/>
      <w:proofErr w:type="spellStart"/>
      <w:proofErr w:type="gramEnd"/>
      <w:r w:rsidRPr="002C3819">
        <w:rPr>
          <w:rFonts w:eastAsia="Calibri"/>
          <w:color w:val="000000"/>
          <w:sz w:val="26"/>
          <w:szCs w:val="26"/>
          <w:lang w:eastAsia="en-US"/>
        </w:rPr>
        <w:t>НЦБОi</w:t>
      </w:r>
      <w:bookmarkEnd w:id="12"/>
      <w:proofErr w:type="spellEnd"/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где: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sz w:val="26"/>
          <w:szCs w:val="26"/>
          <w:lang w:eastAsia="en-US"/>
        </w:rPr>
        <w:t>НЦБ</w:t>
      </w:r>
      <w:r w:rsidRPr="002C3819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«Квалификация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закупки,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числе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финансовых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собственности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законном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оборудования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других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материальных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деловой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репутации,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специалистов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уровня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квалификации».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НЦБОi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показателю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заключенных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C3819">
        <w:rPr>
          <w:rFonts w:eastAsia="Calibri"/>
          <w:color w:val="000000"/>
          <w:sz w:val="26"/>
          <w:szCs w:val="26"/>
          <w:lang w:eastAsia="en-US"/>
        </w:rPr>
        <w:t>энергосервисных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которых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является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оказание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услуг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(выполнение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работ),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направленных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энергосбережение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повышение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энергетической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эффективности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использования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электрической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энергии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нужды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внутреннего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освещения».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Итоговый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рейтинг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i-й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рассчитывается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путем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сложения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рейтингов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каждому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оценки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заявки,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установленному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конкурсной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документации,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умноженных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значимость,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определяется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формуле: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m:oMathPara>
        <m:oMath>
          <m:r>
            <w:rPr>
              <w:rFonts w:ascii="Cambria Math" w:hAnsi="Cambria Math"/>
              <w:color w:val="000000"/>
            </w:rPr>
            <m:t>ИР=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ЦБ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</w:rPr>
            <m:t>×0,6+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НЦБi2</m:t>
          </m:r>
          <m:r>
            <w:rPr>
              <w:rFonts w:ascii="Cambria Math" w:hAnsi="Cambria Math"/>
              <w:color w:val="000000"/>
            </w:rPr>
            <m:t>×0,4</m:t>
          </m:r>
        </m:oMath>
      </m:oMathPara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3819">
        <w:rPr>
          <w:rFonts w:eastAsia="Calibri"/>
          <w:sz w:val="26"/>
          <w:szCs w:val="26"/>
          <w:lang w:eastAsia="en-US"/>
        </w:rPr>
        <w:t>где:</w:t>
      </w:r>
    </w:p>
    <w:p w:rsidR="00ED0596" w:rsidRPr="002C3819" w:rsidRDefault="00ED0596" w:rsidP="00ED059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ЦБ</w:t>
      </w:r>
      <w:proofErr w:type="spellStart"/>
      <w:r w:rsidRPr="002C3819">
        <w:rPr>
          <w:rFonts w:eastAsia="Calibri"/>
          <w:color w:val="000000"/>
          <w:sz w:val="26"/>
          <w:szCs w:val="26"/>
          <w:vertAlign w:val="subscript"/>
          <w:lang w:val="en-US" w:eastAsia="en-US"/>
        </w:rPr>
        <w:t>i</w:t>
      </w:r>
      <w:proofErr w:type="spellEnd"/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«Предложение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о</w:t>
      </w:r>
      <w:r w:rsidR="00017147" w:rsidRPr="002C3819">
        <w:rPr>
          <w:rFonts w:eastAsia="Calibri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sz w:val="26"/>
          <w:szCs w:val="26"/>
          <w:lang w:eastAsia="en-US"/>
        </w:rPr>
        <w:t>сумме»;</w:t>
      </w:r>
    </w:p>
    <w:p w:rsidR="00ED0596" w:rsidRPr="002C3819" w:rsidRDefault="00ED0596" w:rsidP="00ED0596">
      <w:pPr>
        <w:pStyle w:val="2"/>
        <w:numPr>
          <w:ilvl w:val="0"/>
          <w:numId w:val="0"/>
        </w:numPr>
        <w:spacing w:before="0"/>
        <w:ind w:left="1080"/>
        <w:rPr>
          <w:rFonts w:eastAsia="Calibri"/>
          <w:sz w:val="26"/>
          <w:szCs w:val="26"/>
        </w:rPr>
      </w:pPr>
      <w:r w:rsidRPr="002C3819">
        <w:rPr>
          <w:rFonts w:eastAsia="Calibri"/>
          <w:color w:val="000000"/>
          <w:sz w:val="26"/>
          <w:szCs w:val="26"/>
          <w:lang w:eastAsia="en-US"/>
        </w:rPr>
        <w:t>НЦБi2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–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количество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баллов,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присуждаемых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критерию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«Квалификация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участника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конкурса,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числе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наличие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него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финансовых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оборудования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других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материальных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ресурсов,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принадлежащих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праве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собственности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или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на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законном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основании,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опыта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работы,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связанного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предметом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контракта,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деловой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репутации,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специалистов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иных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работников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определенного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уровня</w:t>
      </w:r>
      <w:r w:rsidR="00017147" w:rsidRPr="002C38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C3819">
        <w:rPr>
          <w:rFonts w:eastAsia="Calibri"/>
          <w:color w:val="000000"/>
          <w:sz w:val="26"/>
          <w:szCs w:val="26"/>
          <w:lang w:eastAsia="en-US"/>
        </w:rPr>
        <w:t>квалификации»</w:t>
      </w:r>
      <w:r w:rsidR="00017147" w:rsidRPr="002C3819">
        <w:rPr>
          <w:b/>
          <w:sz w:val="26"/>
          <w:szCs w:val="26"/>
          <w:lang w:bidi="ru-RU"/>
        </w:rPr>
        <w:t xml:space="preserve"> </w:t>
      </w:r>
    </w:p>
    <w:p w:rsidR="00ED0596" w:rsidRPr="002C3819" w:rsidRDefault="00ED0596" w:rsidP="00ED05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Отсутствие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подтверждающих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квалификацию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lastRenderedPageBreak/>
        <w:t>является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основанием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для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отклонения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участника.</w:t>
      </w:r>
    </w:p>
    <w:p w:rsidR="00ED0596" w:rsidRPr="002C3819" w:rsidRDefault="00ED0596" w:rsidP="00ED05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Закон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нормативно-правовые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акты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РФ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регламентируют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установление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конкурсной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документации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тех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показателей,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также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необходимую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информацию,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раскрывающую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содержание</w:t>
      </w:r>
      <w:r w:rsidR="00017147" w:rsidRPr="002C3819">
        <w:rPr>
          <w:sz w:val="26"/>
          <w:szCs w:val="26"/>
        </w:rPr>
        <w:t xml:space="preserve"> </w:t>
      </w:r>
      <w:proofErr w:type="spellStart"/>
      <w:r w:rsidRPr="002C3819">
        <w:rPr>
          <w:sz w:val="26"/>
          <w:szCs w:val="26"/>
        </w:rPr>
        <w:t>нестоимостных</w:t>
      </w:r>
      <w:proofErr w:type="spellEnd"/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критериев.</w:t>
      </w:r>
      <w:r w:rsidR="00017147" w:rsidRPr="002C3819">
        <w:rPr>
          <w:sz w:val="26"/>
          <w:szCs w:val="26"/>
        </w:rPr>
        <w:t xml:space="preserve"> </w:t>
      </w:r>
    </w:p>
    <w:p w:rsidR="00ED0596" w:rsidRPr="002C3819" w:rsidRDefault="00ED0596" w:rsidP="00ED05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связи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чем,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прерогатива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определить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перечень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показателей,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содержание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наполняемость,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перечень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документов,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предоставляемых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составе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показателям,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также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значимость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каждого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соответствии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которой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будет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производиться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оценка,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формула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расчета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количества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баллов,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присуждаемых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таким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показателям,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шкала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предельных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величин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значимости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показателей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оценки,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устанавливающая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интервалы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изменений,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порядок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определения,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принадлежит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Заказчику.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Главным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правилом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случае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выступает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условие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отсутствии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противоречий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основным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нормативно-правовым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актам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РФ,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регламентирующих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оценку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участников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товаров,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работ,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услуг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для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обеспечения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государственных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муниципальных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нужд.</w:t>
      </w:r>
    </w:p>
    <w:p w:rsidR="00ED0596" w:rsidRPr="002C3819" w:rsidRDefault="00ED0596" w:rsidP="00ED05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Комиссия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УФАС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отмечает,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силу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положений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Закона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системе,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наделен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правом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самостоятельно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определять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содержание</w:t>
      </w:r>
      <w:r w:rsidR="00017147" w:rsidRPr="002C3819">
        <w:rPr>
          <w:sz w:val="26"/>
          <w:szCs w:val="26"/>
        </w:rPr>
        <w:t xml:space="preserve"> </w:t>
      </w:r>
      <w:proofErr w:type="spellStart"/>
      <w:r w:rsidRPr="002C3819">
        <w:rPr>
          <w:sz w:val="26"/>
          <w:szCs w:val="26"/>
        </w:rPr>
        <w:t>нестоимостных</w:t>
      </w:r>
      <w:proofErr w:type="spellEnd"/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критериев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исходя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из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максимального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удовлетворения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своих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потребностей.</w:t>
      </w:r>
    </w:p>
    <w:p w:rsidR="00ED0596" w:rsidRPr="002C3819" w:rsidRDefault="00ED0596" w:rsidP="00ED05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Анализ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оспариваемого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Заявителем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порядка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оценки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указанному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показателю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позволяет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прийти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выводу,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указанный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порядок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обжалуемой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Заявителем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части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противоречит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требованиям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Закона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направлен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выявление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лучшего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предложения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исполнению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указанной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части.</w:t>
      </w:r>
    </w:p>
    <w:p w:rsidR="00ED0596" w:rsidRPr="002C3819" w:rsidRDefault="00ED0596" w:rsidP="00ED059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Комиссия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УФАС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отмечает,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что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силу</w:t>
      </w:r>
      <w:r w:rsidR="00017147" w:rsidRPr="002C3819">
        <w:rPr>
          <w:sz w:val="26"/>
          <w:szCs w:val="26"/>
        </w:rPr>
        <w:t xml:space="preserve"> </w:t>
      </w:r>
      <w:proofErr w:type="spellStart"/>
      <w:r w:rsidRPr="002C3819">
        <w:rPr>
          <w:sz w:val="26"/>
          <w:szCs w:val="26"/>
        </w:rPr>
        <w:t>ч.ч</w:t>
      </w:r>
      <w:proofErr w:type="spellEnd"/>
      <w:r w:rsidRPr="002C3819">
        <w:rPr>
          <w:sz w:val="26"/>
          <w:szCs w:val="26"/>
        </w:rPr>
        <w:t>.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1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9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ст.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105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Закона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системе,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любой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закупки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имеет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право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обжаловать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судебном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порядке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порядке,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установленном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настоящей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главой,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контрольный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орган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в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сфере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закупок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действия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(бездействие)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заказчика,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уполномоченного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органа,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уполномоченного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учреждения,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специализированной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организации,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комиссии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осуществлению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закупок,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ее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членов,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должностных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лиц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службы,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контрактного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управляющего,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оператора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электронной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площадки,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оператора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специализированной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электронной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площадки,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если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такие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действия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(бездействие)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нарушают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права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законные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интересы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участника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закупки.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 xml:space="preserve">Из анализа </w:t>
      </w:r>
      <w:proofErr w:type="spellStart"/>
      <w:r w:rsidRPr="002C3819">
        <w:rPr>
          <w:sz w:val="26"/>
          <w:szCs w:val="26"/>
        </w:rPr>
        <w:t>ч.ч</w:t>
      </w:r>
      <w:proofErr w:type="spellEnd"/>
      <w:r w:rsidRPr="002C3819">
        <w:rPr>
          <w:sz w:val="26"/>
          <w:szCs w:val="26"/>
        </w:rPr>
        <w:t>. 1 и 9 ст. 105 Закона о контрактной системе следует, что на Заявителя жалобы возложена обязанность по доказыванию обоснованности доводов жалобы с предоставлением соответствующих документов.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Следовательно, бремя доказывания при рассмотрении жалобы в контрольном органе в сфере закупок Законом о контрактной системе возлагается на лицо, подавшее жалобу на соответствующие действия Заказчика в порядке Главы 6 Закона о контрактной системе.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Вместе с тем, на заседание Комиссии УФАС Заявитель не представил в составе своей жалобы доказательств, подтверждающих обоснованность доводов жалобы.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t>Учитывая данные обстоятельства, Комиссия УФАС не имеет достаточных оснований для признания доводов жалобы обоснованными.</w:t>
      </w:r>
    </w:p>
    <w:p w:rsidR="00017147" w:rsidRPr="002C3819" w:rsidRDefault="00017147" w:rsidP="00017147">
      <w:pPr>
        <w:ind w:firstLine="709"/>
        <w:jc w:val="both"/>
        <w:rPr>
          <w:sz w:val="26"/>
          <w:szCs w:val="26"/>
        </w:rPr>
      </w:pPr>
    </w:p>
    <w:p w:rsidR="00ED0596" w:rsidRPr="002C3819" w:rsidRDefault="00017147" w:rsidP="00017147">
      <w:pPr>
        <w:ind w:firstLine="709"/>
        <w:jc w:val="both"/>
        <w:rPr>
          <w:sz w:val="26"/>
          <w:szCs w:val="26"/>
        </w:rPr>
      </w:pPr>
      <w:r w:rsidRPr="002C3819">
        <w:rPr>
          <w:sz w:val="26"/>
          <w:szCs w:val="26"/>
        </w:rPr>
        <w:lastRenderedPageBreak/>
        <w:t>Комиссия УФАС, руководствуясь ст. ст. 2, 99, 106 Закона о контрактной системе, Административным регламентом,</w:t>
      </w:r>
    </w:p>
    <w:p w:rsidR="00ED0596" w:rsidRPr="002C3819" w:rsidRDefault="00ED0596" w:rsidP="00ED0596">
      <w:pPr>
        <w:ind w:firstLine="709"/>
        <w:jc w:val="both"/>
        <w:rPr>
          <w:sz w:val="26"/>
          <w:szCs w:val="26"/>
        </w:rPr>
      </w:pPr>
    </w:p>
    <w:p w:rsidR="00ED0596" w:rsidRPr="002C3819" w:rsidRDefault="00ED0596" w:rsidP="00ED0596">
      <w:pPr>
        <w:jc w:val="center"/>
        <w:rPr>
          <w:b/>
          <w:sz w:val="26"/>
          <w:szCs w:val="26"/>
        </w:rPr>
      </w:pPr>
      <w:r w:rsidRPr="002C3819">
        <w:rPr>
          <w:sz w:val="26"/>
          <w:szCs w:val="26"/>
        </w:rPr>
        <w:t>РЕШИЛА:</w:t>
      </w:r>
      <w:r w:rsidR="00017147" w:rsidRPr="002C3819">
        <w:rPr>
          <w:b/>
          <w:sz w:val="26"/>
          <w:szCs w:val="26"/>
        </w:rPr>
        <w:t xml:space="preserve"> </w:t>
      </w:r>
    </w:p>
    <w:p w:rsidR="00ED0596" w:rsidRPr="002C3819" w:rsidRDefault="00ED0596" w:rsidP="00ED0596">
      <w:pPr>
        <w:ind w:firstLine="709"/>
        <w:jc w:val="center"/>
        <w:rPr>
          <w:b/>
          <w:sz w:val="26"/>
          <w:szCs w:val="26"/>
        </w:rPr>
      </w:pPr>
    </w:p>
    <w:p w:rsidR="00ED0596" w:rsidRPr="002C3819" w:rsidRDefault="00ED0596" w:rsidP="00ED05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C3819">
        <w:rPr>
          <w:sz w:val="26"/>
          <w:szCs w:val="26"/>
        </w:rPr>
        <w:t>Признать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жалобу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ООО</w:t>
      </w:r>
      <w:r w:rsidR="00017147" w:rsidRPr="002C3819">
        <w:rPr>
          <w:sz w:val="26"/>
          <w:szCs w:val="26"/>
        </w:rPr>
        <w:t xml:space="preserve"> </w:t>
      </w:r>
      <w:r w:rsidRPr="002C3819">
        <w:rPr>
          <w:sz w:val="26"/>
          <w:szCs w:val="26"/>
        </w:rPr>
        <w:t>«</w:t>
      </w:r>
      <w:proofErr w:type="spellStart"/>
      <w:r w:rsidRPr="002C3819">
        <w:rPr>
          <w:iCs/>
          <w:sz w:val="26"/>
          <w:szCs w:val="26"/>
          <w:lang w:eastAsia="en-US"/>
        </w:rPr>
        <w:t>ПрофЛЭД</w:t>
      </w:r>
      <w:proofErr w:type="spellEnd"/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iCs/>
          <w:sz w:val="26"/>
          <w:szCs w:val="26"/>
          <w:lang w:eastAsia="en-US"/>
        </w:rPr>
        <w:t>Групп</w:t>
      </w:r>
      <w:r w:rsidRPr="002C3819">
        <w:rPr>
          <w:sz w:val="26"/>
          <w:szCs w:val="26"/>
        </w:rPr>
        <w:t>»</w:t>
      </w:r>
      <w:r w:rsidR="00017147" w:rsidRPr="002C3819">
        <w:rPr>
          <w:iCs/>
          <w:sz w:val="26"/>
          <w:szCs w:val="26"/>
          <w:lang w:eastAsia="en-US"/>
        </w:rPr>
        <w:t xml:space="preserve"> </w:t>
      </w:r>
      <w:r w:rsidRPr="002C3819">
        <w:rPr>
          <w:sz w:val="26"/>
          <w:szCs w:val="26"/>
        </w:rPr>
        <w:t>необоснованной.</w:t>
      </w:r>
    </w:p>
    <w:p w:rsidR="00ED0596" w:rsidRPr="002C3819" w:rsidRDefault="00ED0596" w:rsidP="00ED0596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6"/>
          <w:szCs w:val="26"/>
        </w:rPr>
      </w:pPr>
    </w:p>
    <w:p w:rsidR="00ED0596" w:rsidRPr="002C3819" w:rsidRDefault="00ED0596" w:rsidP="00ED05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D0596" w:rsidRPr="002C3819" w:rsidRDefault="00ED0596" w:rsidP="00ED059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ED0596" w:rsidRPr="00DA748A" w:rsidRDefault="00ED0596" w:rsidP="00ED0596">
      <w:pPr>
        <w:tabs>
          <w:tab w:val="left" w:pos="2700"/>
        </w:tabs>
        <w:ind w:firstLine="709"/>
        <w:jc w:val="both"/>
        <w:rPr>
          <w:i/>
          <w:sz w:val="26"/>
          <w:szCs w:val="26"/>
        </w:rPr>
      </w:pPr>
      <w:r w:rsidRPr="002C3819">
        <w:rPr>
          <w:i/>
          <w:sz w:val="26"/>
          <w:szCs w:val="26"/>
        </w:rPr>
        <w:t>Настоящее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решение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может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быть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обжаловано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в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судебном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порядке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в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течение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трёх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месяцев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со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дня</w:t>
      </w:r>
      <w:r w:rsidR="00017147" w:rsidRPr="002C3819">
        <w:rPr>
          <w:i/>
          <w:sz w:val="26"/>
          <w:szCs w:val="26"/>
        </w:rPr>
        <w:t xml:space="preserve"> </w:t>
      </w:r>
      <w:r w:rsidRPr="002C3819">
        <w:rPr>
          <w:i/>
          <w:sz w:val="26"/>
          <w:szCs w:val="26"/>
        </w:rPr>
        <w:t>принятия.</w:t>
      </w:r>
    </w:p>
    <w:p w:rsidR="00ED0596" w:rsidRPr="00DA748A" w:rsidRDefault="00ED0596" w:rsidP="00ED0596">
      <w:pPr>
        <w:rPr>
          <w:sz w:val="26"/>
          <w:szCs w:val="26"/>
        </w:rPr>
      </w:pPr>
    </w:p>
    <w:p w:rsidR="00797C80" w:rsidRDefault="00797C80"/>
    <w:sectPr w:rsidR="00797C80" w:rsidSect="00294E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48" w:rsidRDefault="00197248">
      <w:r>
        <w:separator/>
      </w:r>
    </w:p>
  </w:endnote>
  <w:endnote w:type="continuationSeparator" w:id="0">
    <w:p w:rsidR="00197248" w:rsidRDefault="001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48" w:rsidRDefault="00197248">
      <w:r>
        <w:separator/>
      </w:r>
    </w:p>
  </w:footnote>
  <w:footnote w:type="continuationSeparator" w:id="0">
    <w:p w:rsidR="00197248" w:rsidRDefault="0019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A5" w:rsidRDefault="00ED05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3E7">
      <w:rPr>
        <w:noProof/>
      </w:rPr>
      <w:t>12</w:t>
    </w:r>
    <w:r>
      <w:fldChar w:fldCharType="end"/>
    </w:r>
  </w:p>
  <w:p w:rsidR="001B6FA5" w:rsidRDefault="001972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2"/>
    <w:multiLevelType w:val="multilevel"/>
    <w:tmpl w:val="D45A1BF0"/>
    <w:lvl w:ilvl="0">
      <w:start w:val="1"/>
      <w:numFmt w:val="decimal"/>
      <w:pStyle w:val="1"/>
      <w:lvlText w:val="Раздел %1."/>
      <w:lvlJc w:val="left"/>
      <w:pPr>
        <w:ind w:left="341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84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A"/>
    <w:rsid w:val="00017147"/>
    <w:rsid w:val="00197248"/>
    <w:rsid w:val="001D73E7"/>
    <w:rsid w:val="002C0F92"/>
    <w:rsid w:val="002C3819"/>
    <w:rsid w:val="00386DA5"/>
    <w:rsid w:val="004D2D0A"/>
    <w:rsid w:val="00507E17"/>
    <w:rsid w:val="005D6C7A"/>
    <w:rsid w:val="00797C80"/>
    <w:rsid w:val="009545E8"/>
    <w:rsid w:val="00D80AD8"/>
    <w:rsid w:val="00DF5E58"/>
    <w:rsid w:val="00ED0596"/>
    <w:rsid w:val="00F36612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2638"/>
  <w15:chartTrackingRefBased/>
  <w15:docId w15:val="{113EE047-A8FD-4788-936B-DE4936B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ED0596"/>
    <w:pPr>
      <w:keepNext/>
      <w:keepLines/>
      <w:numPr>
        <w:numId w:val="1"/>
      </w:numPr>
      <w:tabs>
        <w:tab w:val="left" w:pos="1134"/>
      </w:tabs>
      <w:spacing w:before="240" w:after="240"/>
      <w:ind w:left="431" w:hanging="431"/>
      <w:contextualSpacing/>
      <w:jc w:val="center"/>
      <w:outlineLvl w:val="0"/>
    </w:pPr>
    <w:rPr>
      <w:rFonts w:eastAsia="Calibri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0596"/>
    <w:pPr>
      <w:numPr>
        <w:ilvl w:val="1"/>
        <w:numId w:val="1"/>
      </w:numPr>
      <w:tabs>
        <w:tab w:val="left" w:pos="1276"/>
      </w:tabs>
      <w:spacing w:before="240"/>
      <w:ind w:left="0" w:firstLine="567"/>
      <w:contextualSpacing/>
      <w:jc w:val="both"/>
      <w:outlineLvl w:val="1"/>
    </w:pPr>
  </w:style>
  <w:style w:type="paragraph" w:styleId="3">
    <w:name w:val="heading 3"/>
    <w:basedOn w:val="2"/>
    <w:link w:val="30"/>
    <w:uiPriority w:val="9"/>
    <w:qFormat/>
    <w:rsid w:val="00ED0596"/>
    <w:pPr>
      <w:numPr>
        <w:ilvl w:val="2"/>
      </w:numPr>
      <w:tabs>
        <w:tab w:val="clear" w:pos="1276"/>
        <w:tab w:val="left" w:pos="1418"/>
      </w:tabs>
      <w:ind w:left="0" w:firstLine="567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ED0596"/>
    <w:pPr>
      <w:numPr>
        <w:ilvl w:val="3"/>
      </w:numPr>
      <w:tabs>
        <w:tab w:val="clear" w:pos="1418"/>
        <w:tab w:val="left" w:pos="1701"/>
      </w:tabs>
      <w:ind w:left="0" w:firstLine="567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596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F5496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596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3763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596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3763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596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596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9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0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5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0596"/>
    <w:rPr>
      <w:rFonts w:ascii="Calibri Light" w:eastAsia="Times New Roman" w:hAnsi="Calibri Light" w:cs="Times New Roman"/>
      <w:color w:val="2F5496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0596"/>
    <w:rPr>
      <w:rFonts w:ascii="Calibri Light" w:eastAsia="Times New Roman" w:hAnsi="Calibri Light" w:cs="Times New Roman"/>
      <w:color w:val="1F3763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D0596"/>
    <w:rPr>
      <w:rFonts w:ascii="Calibri Light" w:eastAsia="Times New Roman" w:hAnsi="Calibri Light" w:cs="Times New Roman"/>
      <w:i/>
      <w:iCs/>
      <w:color w:val="1F3763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05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05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0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0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4517</Words>
  <Characters>25747</Characters>
  <Application>Microsoft Office Word</Application>
  <DocSecurity>0</DocSecurity>
  <Lines>214</Lines>
  <Paragraphs>60</Paragraphs>
  <ScaleCrop>false</ScaleCrop>
  <Company/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2021-02-17T14:43:00Z</dcterms:created>
  <dcterms:modified xsi:type="dcterms:W3CDTF">2021-02-18T16:34:00Z</dcterms:modified>
</cp:coreProperties>
</file>