
<file path=[Content_Types].xml><?xml version="1.0" encoding="utf-8"?>
<Types xmlns="http://schemas.openxmlformats.org/package/2006/content-types">
  <Default Extension="rels" ContentType="application/vnd.openxmlformats-package.relationships+xml"/>
  <Override PartName="/word/document.xml" ContentType="application/vnd.openxmlformats-officedocument.wordprocessingml.document.main+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numbering.xml" ContentType="application/vnd.openxmlformats-officedocument.wordprocessingml.numbering+xml"/>
</Types>
</file>

<file path=_rels/.rels>&#65279;<?xml version="1.0" encoding="utf-8"?><Relationships xmlns="http://schemas.openxmlformats.org/package/2006/relationships"><Relationship Id="R16B2D63A" Type="http://schemas.openxmlformats.org/officeDocument/2006/relationships/officeDocument" Target="/word/document.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ody>
    <w:p>
      <w:pPr>
        <w:spacing w:lineRule="auto" w:line="235" w:after="0" w:beforeAutospacing="0" w:afterAutospacing="0"/>
        <w:ind w:firstLine="709"/>
        <w:contextualSpacing w:val="1"/>
        <w:jc w:val="center"/>
        <w:rPr>
          <w:rFonts w:ascii="Times New Roman" w:hAnsi="Times New Roman"/>
          <w:sz w:val="28"/>
          <w:lang w:eastAsia="ru-RU"/>
        </w:rPr>
      </w:pPr>
      <w:r>
        <w:rPr>
          <w:rFonts w:ascii="Times New Roman" w:hAnsi="Times New Roman"/>
          <w:sz w:val="28"/>
          <w:lang w:eastAsia="ru-RU"/>
        </w:rPr>
        <w:t>РЕШЕНИЕ</w:t>
      </w:r>
    </w:p>
    <w:p>
      <w:pPr>
        <w:spacing w:lineRule="auto" w:line="264" w:after="0" w:beforeAutospacing="0" w:afterAutospacing="0"/>
        <w:ind w:firstLine="709"/>
        <w:contextualSpacing w:val="1"/>
        <w:jc w:val="center"/>
        <w:rPr>
          <w:rFonts w:ascii="Times New Roman" w:hAnsi="Times New Roman"/>
          <w:sz w:val="28"/>
          <w:lang w:eastAsia="ru-RU"/>
        </w:rPr>
      </w:pPr>
      <w:r>
        <w:rPr>
          <w:rFonts w:ascii="Times New Roman" w:hAnsi="Times New Roman"/>
          <w:sz w:val="28"/>
          <w:lang w:eastAsia="ru-RU"/>
        </w:rPr>
        <w:t>по делу № 21/44/105/143</w:t>
      </w:r>
    </w:p>
    <w:p>
      <w:pPr>
        <w:spacing w:lineRule="auto" w:line="264" w:after="0" w:beforeAutospacing="0" w:afterAutospacing="0"/>
        <w:ind w:firstLine="709"/>
        <w:contextualSpacing w:val="1"/>
        <w:jc w:val="center"/>
        <w:rPr>
          <w:rFonts w:ascii="Times New Roman" w:hAnsi="Times New Roman"/>
          <w:sz w:val="28"/>
          <w:lang w:eastAsia="ru-RU"/>
        </w:rPr>
      </w:pPr>
      <w:r>
        <w:rPr>
          <w:rFonts w:ascii="Times New Roman" w:hAnsi="Times New Roman"/>
          <w:sz w:val="28"/>
          <w:lang w:eastAsia="ru-RU"/>
        </w:rPr>
        <w:t xml:space="preserve">о нарушении законодательства Российской Федерации </w:t>
      </w:r>
    </w:p>
    <w:p>
      <w:pPr>
        <w:spacing w:lineRule="auto" w:line="264" w:after="0" w:beforeAutospacing="0" w:afterAutospacing="0"/>
        <w:ind w:firstLine="709"/>
        <w:contextualSpacing w:val="1"/>
        <w:jc w:val="center"/>
        <w:rPr>
          <w:rFonts w:ascii="Times New Roman" w:hAnsi="Times New Roman"/>
          <w:sz w:val="28"/>
          <w:lang w:eastAsia="ru-RU"/>
        </w:rPr>
      </w:pPr>
      <w:r>
        <w:rPr>
          <w:rFonts w:ascii="Times New Roman" w:hAnsi="Times New Roman"/>
          <w:sz w:val="28"/>
          <w:lang w:eastAsia="ru-RU"/>
        </w:rPr>
        <w:t>о контрактной системе в сфере закупок</w:t>
      </w:r>
    </w:p>
    <w:tbl>
      <w:tblPr>
        <w:tblW w:w="10065" w:type="dxa"/>
        <w:tblCellSpacing w:w="0" w:type="dxa"/>
        <w:tblCellMar>
          <w:left w:w="0" w:type="dxa"/>
          <w:right w:w="0" w:type="dxa"/>
        </w:tblCellMar>
        <w:tblLook w:val="04A0"/>
      </w:tblPr>
      <w:tblGrid/>
      <w:tr>
        <w:trPr>
          <w:trHeight w:hRule="atLeast" w:val="520"/>
          <w:tblCellSpacing w:w="0" w:type="dxa"/>
        </w:trPr>
        <w:tc>
          <w:tcPr>
            <w:tcW w:w="10065" w:type="dxa"/>
            <w:hideMark/>
          </w:tcPr>
          <w:p>
            <w:pPr>
              <w:spacing w:lineRule="auto" w:line="264" w:after="0" w:beforeAutospacing="0" w:afterAutospacing="0"/>
              <w:contextualSpacing w:val="1"/>
              <w:jc w:val="both"/>
              <w:rPr>
                <w:rFonts w:ascii="Times New Roman" w:hAnsi="Times New Roman"/>
                <w:sz w:val="28"/>
                <w:lang w:eastAsia="ru-RU"/>
              </w:rPr>
            </w:pPr>
            <w:r>
              <w:rPr>
                <w:rFonts w:ascii="Times New Roman" w:hAnsi="Times New Roman"/>
                <w:sz w:val="28"/>
                <w:lang w:eastAsia="ru-RU"/>
              </w:rPr>
              <w:t>15.</w:t>
            </w:r>
            <w:r>
              <w:rPr>
                <w:rFonts w:ascii="Times New Roman" w:hAnsi="Times New Roman"/>
                <w:sz w:val="28"/>
                <w:lang w:val="en-US" w:eastAsia="ru-RU"/>
              </w:rPr>
              <w:t>0</w:t>
            </w:r>
            <w:r>
              <w:rPr>
                <w:rFonts w:ascii="Times New Roman" w:hAnsi="Times New Roman"/>
                <w:sz w:val="28"/>
                <w:lang w:eastAsia="ru-RU"/>
              </w:rPr>
              <w:t>2.202</w:t>
            </w:r>
            <w:r>
              <w:rPr>
                <w:rFonts w:ascii="Times New Roman" w:hAnsi="Times New Roman"/>
                <w:sz w:val="28"/>
                <w:lang w:val="en-US" w:eastAsia="ru-RU"/>
              </w:rPr>
              <w:t>1</w:t>
            </w:r>
            <w:r>
              <w:rPr>
                <w:rFonts w:ascii="Times New Roman" w:hAnsi="Times New Roman"/>
                <w:sz w:val="28"/>
                <w:lang w:eastAsia="ru-RU"/>
              </w:rPr>
              <w:t xml:space="preserve">                                                                                                                   Москва</w:t>
            </w:r>
          </w:p>
        </w:tc>
      </w:tr>
    </w:tbl>
    <w:p>
      <w:pPr>
        <w:widowControl w:val="0"/>
        <w:tabs>
          <w:tab w:val="left" w:pos="709" w:leader="none"/>
        </w:tabs>
        <w:spacing w:lineRule="exact" w:line="360" w:after="0" w:beforeAutospacing="0" w:afterAutospacing="0"/>
        <w:ind w:firstLine="709"/>
        <w:contextualSpacing w:val="1"/>
        <w:jc w:val="both"/>
        <w:rPr>
          <w:rFonts w:ascii="Times New Roman" w:hAnsi="Times New Roman"/>
          <w:sz w:val="28"/>
          <w:lang w:eastAsia="ru-RU"/>
        </w:rPr>
      </w:pPr>
      <w:r>
        <w:rPr>
          <w:rFonts w:ascii="Times New Roman" w:hAnsi="Times New Roman"/>
          <w:sz w:val="28"/>
          <w:lang w:eastAsia="ru-RU"/>
        </w:rPr>
        <w:t xml:space="preserve">Комиссия Федеральной антимонопольной службы по контролю в сфере закупок (далее – Комиссия) </w:t>
      </w:r>
      <w:r>
        <w:rPr>
          <w:rFonts w:ascii="Times New Roman" w:hAnsi="Times New Roman"/>
          <w:sz w:val="28"/>
          <w:lang w:eastAsia="ru-RU"/>
        </w:rPr>
        <w:t xml:space="preserve">рассмотрев посредством видео-конференц-связи жалобу                                            </w:t>
      </w:r>
      <w:r>
        <w:rPr>
          <w:rFonts w:ascii="Times New Roman" w:hAnsi="Times New Roman"/>
          <w:color w:val="000000"/>
          <w:sz w:val="28"/>
          <w:lang w:eastAsia="ru-RU"/>
        </w:rPr>
        <w:t xml:space="preserve">ООО «Домострой» </w:t>
      </w:r>
      <w:r>
        <w:rPr>
          <w:rFonts w:ascii="Times New Roman" w:hAnsi="Times New Roman"/>
          <w:sz w:val="28"/>
          <w:lang w:eastAsia="ru-RU"/>
        </w:rPr>
        <w:t xml:space="preserve">(далее – Заявитель) на действия  </w:t>
      </w:r>
      <w:r>
        <w:rPr>
          <w:rFonts w:ascii="Times New Roman" w:hAnsi="Times New Roman"/>
          <w:color w:val="000000"/>
          <w:sz w:val="28"/>
        </w:rPr>
        <w:t xml:space="preserve">ГБУ Ставропольского края «Стававтодор» </w:t>
      </w:r>
      <w:r>
        <w:rPr>
          <w:rFonts w:ascii="Times New Roman" w:hAnsi="Times New Roman"/>
          <w:sz w:val="28"/>
          <w:lang w:eastAsia="ar-SA"/>
        </w:rPr>
        <w:t xml:space="preserve">(далее – Заказчик), </w:t>
      </w:r>
      <w:r>
        <w:rPr>
          <w:rFonts w:ascii="Times New Roman" w:hAnsi="Times New Roman"/>
          <w:color w:val="000000"/>
          <w:sz w:val="28"/>
          <w:lang w:eastAsia="ru-RU"/>
        </w:rPr>
        <w:t xml:space="preserve">Комитета Ставропольского края по государственным закупкам (далее – Уполномоченный орган) </w:t>
      </w:r>
      <w:r>
        <w:rPr>
          <w:rFonts w:ascii="Times New Roman" w:hAnsi="Times New Roman"/>
          <w:sz w:val="28"/>
          <w:lang w:eastAsia="ar-SA"/>
        </w:rPr>
        <w:t xml:space="preserve">при проведении </w:t>
      </w:r>
      <w:r>
        <w:rPr>
          <w:rFonts w:ascii="Times New Roman" w:hAnsi="Times New Roman"/>
          <w:color w:val="000000"/>
          <w:sz w:val="28"/>
          <w:lang w:eastAsia="ru-RU"/>
        </w:rPr>
        <w:t>Заказчиком,</w:t>
      </w:r>
      <w:r>
        <w:rPr>
          <w:rStyle w:val="C10"/>
          <w:rFonts w:ascii="Times New Roman" w:hAnsi="Times New Roman"/>
          <w:sz w:val="28"/>
        </w:rPr>
        <w:t xml:space="preserve"> Уполномоченным органом,</w:t>
      </w:r>
      <w:r>
        <w:rPr>
          <w:rFonts w:ascii="Times New Roman" w:hAnsi="Times New Roman"/>
          <w:color w:val="000000"/>
          <w:sz w:val="28"/>
          <w:lang w:eastAsia="ru-RU"/>
        </w:rPr>
        <w:t xml:space="preserve"> конкурсной комиссией</w:t>
      </w:r>
      <w:r>
        <w:rPr>
          <w:rFonts w:ascii="Times New Roman" w:hAnsi="Times New Roman"/>
          <w:color w:val="000000"/>
          <w:sz w:val="28"/>
        </w:rPr>
        <w:t xml:space="preserve">                                              ГБУ Ставропольского края «Стававтодор» (далее – Конкурсная комиссия),</w:t>
      </w:r>
      <w:r>
        <w:rPr>
          <w:rStyle w:val="C10"/>
          <w:rFonts w:ascii="Times New Roman" w:hAnsi="Times New Roman"/>
          <w:sz w:val="28"/>
        </w:rPr>
        <w:t xml:space="preserve">                   </w:t>
      </w:r>
      <w:r>
        <w:rPr>
          <w:rFonts w:ascii="Times New Roman" w:hAnsi="Times New Roman"/>
          <w:color w:val="000000"/>
          <w:sz w:val="28"/>
          <w:lang w:eastAsia="ru-RU"/>
        </w:rPr>
        <w:t>ООО «РТС-тендер»</w:t>
      </w:r>
      <w:r>
        <w:rPr>
          <w:rFonts w:ascii="Times New Roman" w:hAnsi="Times New Roman"/>
          <w:sz w:val="28"/>
          <w:lang w:eastAsia="ar-SA"/>
        </w:rPr>
        <w:t xml:space="preserve"> (далее – Оператор электронной площадки) </w:t>
      </w:r>
      <w:r>
        <w:rPr>
          <w:rFonts w:ascii="Times New Roman" w:hAnsi="Times New Roman"/>
          <w:sz w:val="28"/>
        </w:rPr>
        <w:t xml:space="preserve">открытого конкурса в электронной форме на проведение работ по строительству, реконструкции, капитальному ремонту, сносу объекта капитального строительства, предусматривающих проектную документацию или экономически эффективную проектную документацию повторного использования, или смету на капитальный ремонт объекта капитального строительства, утвержденную в порядке, установленном законодательством о градостроительной деятельности на право заключения государственного контракта на </w:t>
      </w:r>
      <w:r>
        <w:rPr>
          <w:rFonts w:ascii="Times New Roman" w:hAnsi="Times New Roman"/>
          <w:sz w:val="28"/>
          <w:shd w:val="clear" w:fill="FFFFFF"/>
        </w:rPr>
        <w:t xml:space="preserve">выполнение работ по </w:t>
      </w:r>
      <w:r>
        <w:rPr>
          <w:rStyle w:val="C10"/>
          <w:rFonts w:ascii="Times New Roman" w:hAnsi="Times New Roman"/>
          <w:sz w:val="28"/>
        </w:rPr>
        <w:t xml:space="preserve">строительству объекта «Кавминводский велотерренкур» </w:t>
      </w:r>
      <w:r>
        <w:rPr>
          <w:rFonts w:ascii="Times New Roman" w:hAnsi="Times New Roman"/>
          <w:noProof w:val="1"/>
          <w:sz w:val="28"/>
        </w:rPr>
        <w:t>(номер извещения</w:t>
      </w:r>
      <w:r>
        <w:rPr>
          <w:rFonts w:ascii="Times New Roman" w:hAnsi="Times New Roman"/>
          <w:sz w:val="28"/>
        </w:rPr>
        <w:t xml:space="preserve"> </w:t>
      </w:r>
      <w:r>
        <w:rPr>
          <w:rFonts w:ascii="Times New Roman" w:hAnsi="Times New Roman"/>
          <w:noProof w:val="1"/>
          <w:sz w:val="28"/>
        </w:rPr>
        <w:t xml:space="preserve">в единой информационной системе в сфере закупок www.zakupki.gov.ru                                            (далее – ЕИС) –</w:t>
      </w:r>
      <w:r>
        <w:rPr>
          <w:rFonts w:ascii="Times New Roman" w:hAnsi="Times New Roman"/>
          <w:sz w:val="28"/>
        </w:rPr>
        <w:t xml:space="preserve"> </w:t>
      </w:r>
      <w:r>
        <w:rPr>
          <w:rFonts w:ascii="Times New Roman" w:hAnsi="Times New Roman"/>
          <w:sz w:val="28"/>
          <w:shd w:val="clear" w:fill="FFFFFF"/>
        </w:rPr>
        <w:t>0121200004721000005</w:t>
      </w:r>
      <w:r>
        <w:rPr>
          <w:rFonts w:ascii="Times New Roman" w:hAnsi="Times New Roman"/>
          <w:noProof w:val="1"/>
          <w:sz w:val="28"/>
        </w:rPr>
        <w:t>) (далее – Конкурс</w:t>
      </w:r>
      <w:r>
        <w:rPr>
          <w:rFonts w:ascii="Times New Roman" w:hAnsi="Times New Roman"/>
          <w:sz w:val="28"/>
          <w:lang w:eastAsia="ru-RU"/>
        </w:rPr>
        <w:t>),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widowControl w:val="0"/>
        <w:spacing w:lineRule="exact" w:line="360" w:after="0" w:beforeAutospacing="0" w:afterAutospacing="0"/>
        <w:ind w:firstLine="709"/>
        <w:contextualSpacing w:val="1"/>
        <w:jc w:val="both"/>
        <w:rPr>
          <w:rFonts w:ascii="Times New Roman" w:hAnsi="Times New Roman"/>
          <w:sz w:val="28"/>
          <w:lang w:eastAsia="ru-RU"/>
        </w:rPr>
      </w:pPr>
    </w:p>
    <w:p>
      <w:pPr>
        <w:widowControl w:val="0"/>
        <w:spacing w:lineRule="exact" w:line="360" w:after="0" w:beforeAutospacing="0" w:afterAutospacing="0"/>
        <w:ind w:firstLine="709"/>
        <w:contextualSpacing w:val="1"/>
        <w:jc w:val="both"/>
        <w:rPr>
          <w:rFonts w:ascii="Times New Roman" w:hAnsi="Times New Roman"/>
          <w:sz w:val="28"/>
          <w:lang w:eastAsia="ru-RU"/>
        </w:rPr>
      </w:pPr>
    </w:p>
    <w:p>
      <w:pPr>
        <w:spacing w:lineRule="exact" w:line="400" w:after="0" w:beforeAutospacing="0" w:afterAutospacing="0"/>
        <w:contextualSpacing w:val="1"/>
        <w:jc w:val="center"/>
        <w:rPr>
          <w:rFonts w:ascii="Times New Roman" w:hAnsi="Times New Roman"/>
          <w:sz w:val="28"/>
          <w:lang w:eastAsia="ru-RU"/>
        </w:rPr>
      </w:pPr>
      <w:r>
        <w:rPr>
          <w:rFonts w:ascii="Times New Roman" w:hAnsi="Times New Roman"/>
          <w:sz w:val="28"/>
          <w:lang w:eastAsia="ru-RU"/>
        </w:rPr>
        <w:t>УСТАНОВИЛА:</w:t>
      </w:r>
    </w:p>
    <w:p>
      <w:pPr>
        <w:spacing w:lineRule="exact" w:line="400" w:after="0" w:beforeAutospacing="0" w:afterAutospacing="0"/>
        <w:ind w:firstLine="709"/>
        <w:contextualSpacing w:val="1"/>
        <w:jc w:val="center"/>
        <w:rPr>
          <w:rFonts w:ascii="Times New Roman" w:hAnsi="Times New Roman"/>
          <w:sz w:val="28"/>
          <w:lang w:eastAsia="ru-RU"/>
        </w:rPr>
      </w:pPr>
    </w:p>
    <w:p>
      <w:pPr>
        <w:spacing w:lineRule="exact" w:line="400" w:after="0" w:beforeAutospacing="0" w:afterAutospacing="0"/>
        <w:ind w:firstLine="709"/>
        <w:jc w:val="both"/>
        <w:rPr>
          <w:rFonts w:ascii="Times New Roman" w:hAnsi="Times New Roman"/>
          <w:sz w:val="28"/>
        </w:rPr>
      </w:pPr>
      <w:r>
        <w:rPr>
          <w:rFonts w:ascii="Times New Roman" w:hAnsi="Times New Roman"/>
          <w:sz w:val="28"/>
        </w:rPr>
        <w:t xml:space="preserve">В Федеральную антимонопольную службу поступила жалоба Заявителя                         на действия Заказчика, Уполномоченного органа при проведении Заказчиком, Уполномоченным органом, Конкурсной комиссией, Оператором электронной площадки Конкурса.</w:t>
      </w:r>
    </w:p>
    <w:p>
      <w:pPr>
        <w:spacing w:lineRule="exact" w:line="400" w:after="0" w:beforeAutospacing="0" w:afterAutospacing="0"/>
        <w:ind w:firstLine="709"/>
        <w:jc w:val="both"/>
        <w:rPr>
          <w:rFonts w:ascii="Times New Roman" w:hAnsi="Times New Roman"/>
          <w:sz w:val="28"/>
        </w:rPr>
      </w:pPr>
      <w:r>
        <w:rPr>
          <w:rFonts w:ascii="Times New Roman" w:hAnsi="Times New Roman"/>
          <w:sz w:val="28"/>
        </w:rPr>
        <w:t>По мнению Заявителя, его права и законные интересы нарушены следующими действиями Заказчика, Уполномоченного органа:</w:t>
      </w:r>
    </w:p>
    <w:p>
      <w:pPr>
        <w:pStyle w:val="P3"/>
        <w:numPr>
          <w:ilvl w:val="0"/>
          <w:numId w:val="34"/>
        </w:numPr>
        <w:spacing w:lineRule="exact" w:line="400" w:after="0" w:beforeAutospacing="0" w:afterAutospacing="0"/>
        <w:ind w:firstLine="709" w:left="0"/>
        <w:jc w:val="both"/>
        <w:rPr>
          <w:rFonts w:ascii="Times New Roman" w:hAnsi="Times New Roman"/>
          <w:sz w:val="28"/>
        </w:rPr>
      </w:pPr>
      <w:r>
        <w:rPr>
          <w:rFonts w:ascii="Times New Roman" w:hAnsi="Times New Roman"/>
          <w:sz w:val="28"/>
        </w:rPr>
        <w:t>В Конкурсной документации ненадлежащим образом установлен порядок оценки заявок участников закупки по показателю «</w:t>
      </w:r>
      <w:r>
        <w:rPr>
          <w:rFonts w:ascii="Times New Roman" w:hAnsi="Times New Roman"/>
          <w:color w:val="000000"/>
          <w:sz w:val="28"/>
          <w:lang w:eastAsia="ru-RU"/>
        </w:rPr>
        <w:t>Наибольшая цена одного из исполненных контрактов/договоров</w:t>
      </w:r>
      <w:r>
        <w:rPr>
          <w:rFonts w:ascii="Times New Roman" w:hAnsi="Times New Roman"/>
          <w:sz w:val="28"/>
        </w:rPr>
        <w:t>» (далее – Показатель № 1) критерия «Квалификация участников закупки, в том числе наличие у них финансовых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 Критерий № 1);</w:t>
      </w:r>
    </w:p>
    <w:p>
      <w:pPr>
        <w:pStyle w:val="P3"/>
        <w:numPr>
          <w:ilvl w:val="0"/>
          <w:numId w:val="34"/>
        </w:numPr>
        <w:spacing w:lineRule="exact" w:line="400" w:after="0" w:beforeAutospacing="0" w:afterAutospacing="0"/>
        <w:ind w:firstLine="709" w:left="0"/>
        <w:jc w:val="both"/>
        <w:rPr>
          <w:rFonts w:ascii="Times New Roman" w:hAnsi="Times New Roman"/>
          <w:sz w:val="28"/>
          <w:lang w:eastAsia="ru-RU"/>
        </w:rPr>
      </w:pPr>
      <w:r>
        <w:rPr>
          <w:rFonts w:ascii="Times New Roman" w:hAnsi="Times New Roman"/>
          <w:sz w:val="28"/>
        </w:rPr>
        <w:t>В проекте контракта Конкурсной документации установлен порядок оплаты выполненных работ не в соответствии с приказом Министерства строительства и жилищно-коммунального хозяйства Российской Федерации от 14.01.2020 г. № 9/пр «Об утверждении типовых условий контрактов на выполнение работ по строительству (реконструкции) объекта капитального строительства и информационной карты типовых условий контракта» (далее – Приказ № 9/пр);</w:t>
      </w:r>
    </w:p>
    <w:p>
      <w:pPr>
        <w:pStyle w:val="P3"/>
        <w:numPr>
          <w:ilvl w:val="0"/>
          <w:numId w:val="34"/>
        </w:numPr>
        <w:spacing w:lineRule="exact" w:line="400" w:after="0" w:beforeAutospacing="0" w:afterAutospacing="0"/>
        <w:ind w:firstLine="709" w:left="0"/>
        <w:jc w:val="both"/>
        <w:rPr>
          <w:rFonts w:ascii="Times New Roman" w:hAnsi="Times New Roman"/>
          <w:sz w:val="28"/>
          <w:lang w:eastAsia="ru-RU"/>
        </w:rPr>
      </w:pPr>
      <w:r>
        <w:rPr>
          <w:rFonts w:ascii="Times New Roman" w:hAnsi="Times New Roman"/>
          <w:sz w:val="28"/>
        </w:rPr>
        <w:t xml:space="preserve">В проекте контракта Конкурсной документации неправомерно не установлены  виды и объемы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в соответствии с Постановлением Правительства от 15.05.2017 № 570                                       «Об установлении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и о внесении изменений в Правила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(далее – Постановление № 570);</w:t>
      </w:r>
    </w:p>
    <w:p>
      <w:pPr>
        <w:pStyle w:val="P3"/>
        <w:numPr>
          <w:ilvl w:val="0"/>
          <w:numId w:val="34"/>
        </w:numPr>
        <w:spacing w:lineRule="exact" w:line="400" w:after="0" w:beforeAutospacing="0" w:afterAutospacing="0"/>
        <w:ind w:firstLine="709" w:left="0"/>
        <w:jc w:val="both"/>
        <w:rPr>
          <w:rFonts w:ascii="Times New Roman" w:hAnsi="Times New Roman"/>
          <w:sz w:val="28"/>
          <w:lang w:eastAsia="ru-RU"/>
        </w:rPr>
      </w:pPr>
      <w:r>
        <w:rPr>
          <w:rFonts w:ascii="Times New Roman" w:hAnsi="Times New Roman"/>
          <w:sz w:val="28"/>
        </w:rPr>
        <w:t>В проекте контракта Конкурсной документации неправомерно не установлен порядок организации процесса утилизации отходов;</w:t>
      </w:r>
    </w:p>
    <w:p>
      <w:pPr>
        <w:pStyle w:val="P3"/>
        <w:numPr>
          <w:ilvl w:val="0"/>
          <w:numId w:val="34"/>
        </w:numPr>
        <w:spacing w:lineRule="exact" w:line="400" w:after="0" w:beforeAutospacing="0" w:afterAutospacing="0"/>
        <w:ind w:firstLine="709" w:left="0"/>
        <w:jc w:val="both"/>
        <w:rPr>
          <w:rFonts w:ascii="Times New Roman" w:hAnsi="Times New Roman"/>
          <w:sz w:val="28"/>
          <w:lang w:eastAsia="ru-RU"/>
        </w:rPr>
      </w:pPr>
      <w:r>
        <w:rPr>
          <w:rFonts w:ascii="Times New Roman" w:hAnsi="Times New Roman"/>
          <w:sz w:val="28"/>
        </w:rPr>
        <w:t>В Конкурсной документации ненадлежащим образом установлено описание объекта закупки;</w:t>
      </w:r>
    </w:p>
    <w:p>
      <w:pPr>
        <w:pStyle w:val="P3"/>
        <w:numPr>
          <w:ilvl w:val="0"/>
          <w:numId w:val="34"/>
        </w:numPr>
        <w:spacing w:lineRule="exact" w:line="400" w:after="0" w:beforeAutospacing="0" w:afterAutospacing="0"/>
        <w:ind w:firstLine="709" w:left="0"/>
        <w:jc w:val="both"/>
        <w:rPr>
          <w:rFonts w:ascii="Times New Roman" w:hAnsi="Times New Roman"/>
          <w:sz w:val="28"/>
          <w:lang w:eastAsia="ru-RU"/>
        </w:rPr>
      </w:pPr>
      <w:r>
        <w:rPr>
          <w:rFonts w:ascii="Times New Roman" w:hAnsi="Times New Roman"/>
          <w:sz w:val="28"/>
        </w:rPr>
        <w:t>В ЕИС проектная документация размещена не в полном объеме;</w:t>
      </w:r>
    </w:p>
    <w:p>
      <w:pPr>
        <w:pStyle w:val="P3"/>
        <w:numPr>
          <w:ilvl w:val="0"/>
          <w:numId w:val="34"/>
        </w:numPr>
        <w:spacing w:lineRule="exact" w:line="400" w:after="0" w:beforeAutospacing="0" w:afterAutospacing="0"/>
        <w:ind w:firstLine="709" w:left="0"/>
        <w:jc w:val="both"/>
        <w:rPr>
          <w:rFonts w:ascii="Times New Roman" w:hAnsi="Times New Roman"/>
          <w:sz w:val="28"/>
          <w:lang w:eastAsia="ru-RU"/>
        </w:rPr>
      </w:pPr>
      <w:r>
        <w:rPr>
          <w:rFonts w:ascii="Times New Roman" w:hAnsi="Times New Roman"/>
          <w:sz w:val="28"/>
          <w:lang w:eastAsia="ru-RU"/>
        </w:rPr>
        <w:t>В Конкурсной документации отсутствует условие о возможности использования эквивалентного товара при выполнении работ.</w:t>
      </w:r>
    </w:p>
    <w:p>
      <w:pPr>
        <w:spacing w:lineRule="exact" w:line="400" w:after="0" w:beforeAutospacing="0" w:afterAutospacing="0"/>
        <w:ind w:firstLine="709"/>
        <w:jc w:val="both"/>
        <w:rPr>
          <w:rFonts w:ascii="Times New Roman" w:hAnsi="Times New Roman"/>
          <w:sz w:val="28"/>
        </w:rPr>
      </w:pPr>
      <w:r>
        <w:rPr>
          <w:rFonts w:ascii="Times New Roman" w:hAnsi="Times New Roman"/>
          <w:sz w:val="28"/>
        </w:rPr>
        <w:t>Представители Заказчика, Уполномоченного органа на заседании Комиссии не согласились с доводами Заявителя и сообщили, что при проведении Конкурса Заказчик, Уполномоченный орган действовали в соответствии с положениями Закона о контрактной системе.</w:t>
      </w:r>
    </w:p>
    <w:p>
      <w:pPr>
        <w:tabs>
          <w:tab w:val="left" w:pos="851" w:leader="none"/>
        </w:tabs>
        <w:spacing w:lineRule="exact" w:line="400" w:after="0" w:beforeAutospacing="0" w:afterAutospacing="0"/>
        <w:ind w:firstLine="709"/>
        <w:jc w:val="both"/>
        <w:rPr>
          <w:rFonts w:ascii="Times New Roman" w:hAnsi="Times New Roman"/>
          <w:sz w:val="28"/>
        </w:rPr>
      </w:pPr>
      <w:r>
        <w:rPr>
          <w:rFonts w:ascii="Times New Roman" w:hAnsi="Times New Roman"/>
          <w:sz w:val="28"/>
        </w:rPr>
        <w:t>В ходе рассмотрения жалобы Заявителя на действия Заказчика 11.02.2021 Комиссией в целях полного и всестороннего рассмотрения жалобы в заседании Комиссии объявлен перерыв в соответствии с пунктом 3.32 Административного регламента, заседание продолжилось 15.02.2021.</w:t>
      </w:r>
    </w:p>
    <w:p>
      <w:pPr>
        <w:spacing w:lineRule="exact" w:line="400" w:after="0" w:beforeAutospacing="0" w:afterAutospacing="0"/>
        <w:ind w:firstLine="709"/>
        <w:contextualSpacing w:val="1"/>
        <w:jc w:val="both"/>
        <w:rPr>
          <w:rFonts w:ascii="Times New Roman" w:hAnsi="Times New Roman"/>
          <w:sz w:val="28"/>
          <w:lang w:eastAsia="ru-RU"/>
        </w:rPr>
      </w:pPr>
      <w:r>
        <w:rPr>
          <w:rFonts w:ascii="Times New Roman" w:hAnsi="Times New Roman"/>
          <w:sz w:val="28"/>
          <w:lang w:eastAsia="ru-RU"/>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pPr>
        <w:tabs>
          <w:tab w:val="left" w:pos="993" w:leader="none"/>
        </w:tabs>
        <w:spacing w:lineRule="exact" w:line="400" w:after="0" w:beforeAutospacing="0" w:afterAutospacing="0"/>
        <w:ind w:firstLine="709"/>
        <w:contextualSpacing w:val="1"/>
        <w:jc w:val="both"/>
        <w:rPr>
          <w:rFonts w:ascii="Times New Roman" w:hAnsi="Times New Roman"/>
          <w:sz w:val="28"/>
          <w:lang w:eastAsia="ru-RU"/>
        </w:rPr>
      </w:pPr>
      <w:r>
        <w:rPr>
          <w:rFonts w:ascii="Times New Roman" w:hAnsi="Times New Roman"/>
          <w:sz w:val="28"/>
          <w:lang w:eastAsia="ru-RU"/>
        </w:rPr>
        <w:t>В соответствии с извещением о проведении Конкурса, протоколами, составленными при осуществлении закупки:</w:t>
      </w:r>
    </w:p>
    <w:p>
      <w:pPr>
        <w:pStyle w:val="P3"/>
        <w:numPr>
          <w:ilvl w:val="0"/>
          <w:numId w:val="27"/>
        </w:numPr>
        <w:tabs>
          <w:tab w:val="left" w:pos="993" w:leader="none"/>
        </w:tabs>
        <w:spacing w:lineRule="exact" w:line="400" w:after="0" w:beforeAutospacing="0" w:afterAutospacing="0"/>
        <w:ind w:firstLine="709" w:left="0"/>
        <w:jc w:val="both"/>
        <w:rPr>
          <w:rFonts w:ascii="Times New Roman" w:hAnsi="Times New Roman"/>
          <w:sz w:val="28"/>
          <w:lang w:eastAsia="ru-RU"/>
        </w:rPr>
      </w:pPr>
      <w:r>
        <w:rPr>
          <w:rFonts w:ascii="Times New Roman" w:hAnsi="Times New Roman"/>
          <w:sz w:val="28"/>
        </w:rPr>
        <w:t>извещение об осуществлении закупки размещено в ЕИС – 17.01.2021</w:t>
      </w:r>
      <w:r>
        <w:rPr>
          <w:rFonts w:ascii="Times New Roman" w:hAnsi="Times New Roman"/>
          <w:sz w:val="28"/>
          <w:lang w:eastAsia="ru-RU"/>
        </w:rPr>
        <w:t>;</w:t>
      </w:r>
    </w:p>
    <w:p>
      <w:pPr>
        <w:pStyle w:val="P3"/>
        <w:numPr>
          <w:ilvl w:val="0"/>
          <w:numId w:val="27"/>
        </w:numPr>
        <w:tabs>
          <w:tab w:val="left" w:pos="993" w:leader="none"/>
        </w:tabs>
        <w:spacing w:lineRule="exact" w:line="400" w:after="0" w:beforeAutospacing="0" w:afterAutospacing="0"/>
        <w:ind w:firstLine="709" w:left="0"/>
        <w:jc w:val="both"/>
        <w:rPr>
          <w:rFonts w:ascii="Times New Roman" w:hAnsi="Times New Roman"/>
          <w:sz w:val="28"/>
          <w:lang w:eastAsia="ru-RU"/>
        </w:rPr>
      </w:pPr>
      <w:r>
        <w:rPr>
          <w:rFonts w:ascii="Times New Roman" w:hAnsi="Times New Roman"/>
          <w:sz w:val="28"/>
        </w:rPr>
        <w:t xml:space="preserve">начальная (максимальная) цена контракта – </w:t>
      </w:r>
      <w:r>
        <w:rPr>
          <w:rFonts w:ascii="Times New Roman" w:hAnsi="Times New Roman"/>
          <w:sz w:val="28"/>
          <w:shd w:val="clear" w:fill="FFFFFF"/>
        </w:rPr>
        <w:t xml:space="preserve">2 707 468 780 </w:t>
      </w:r>
      <w:r>
        <w:rPr>
          <w:rFonts w:ascii="Times New Roman" w:hAnsi="Times New Roman"/>
          <w:sz w:val="28"/>
        </w:rPr>
        <w:t>рублей</w:t>
      </w:r>
      <w:r>
        <w:rPr>
          <w:rFonts w:ascii="Times New Roman" w:hAnsi="Times New Roman"/>
          <w:sz w:val="28"/>
          <w:lang w:eastAsia="ru-RU"/>
        </w:rPr>
        <w:t>;</w:t>
      </w:r>
    </w:p>
    <w:p>
      <w:pPr>
        <w:pStyle w:val="P3"/>
        <w:numPr>
          <w:ilvl w:val="0"/>
          <w:numId w:val="27"/>
        </w:numPr>
        <w:tabs>
          <w:tab w:val="left" w:pos="993" w:leader="none"/>
        </w:tabs>
        <w:spacing w:lineRule="exact" w:line="400" w:after="0" w:beforeAutospacing="0" w:afterAutospacing="0"/>
        <w:ind w:firstLine="709" w:left="0"/>
        <w:jc w:val="both"/>
        <w:rPr>
          <w:rFonts w:ascii="Times New Roman" w:hAnsi="Times New Roman"/>
          <w:sz w:val="28"/>
          <w:lang w:eastAsia="ru-RU"/>
        </w:rPr>
      </w:pPr>
      <w:r>
        <w:rPr>
          <w:rFonts w:ascii="Times New Roman" w:hAnsi="Times New Roman"/>
          <w:sz w:val="28"/>
          <w:lang w:eastAsia="ru-RU"/>
        </w:rPr>
        <w:t>способ определения поставщика (подрядчика, исполнителя) – Конкурс;</w:t>
      </w:r>
    </w:p>
    <w:p>
      <w:pPr>
        <w:pStyle w:val="P3"/>
        <w:numPr>
          <w:ilvl w:val="0"/>
          <w:numId w:val="27"/>
        </w:numPr>
        <w:tabs>
          <w:tab w:val="left" w:pos="993" w:leader="none"/>
        </w:tabs>
        <w:spacing w:lineRule="exact" w:line="400" w:after="0" w:beforeAutospacing="0" w:afterAutospacing="0"/>
        <w:ind w:firstLine="709" w:left="0"/>
        <w:jc w:val="both"/>
        <w:rPr>
          <w:rFonts w:ascii="Times New Roman" w:hAnsi="Times New Roman"/>
          <w:sz w:val="28"/>
          <w:lang w:eastAsia="ru-RU"/>
        </w:rPr>
      </w:pPr>
      <w:r>
        <w:rPr>
          <w:rFonts w:ascii="Times New Roman" w:hAnsi="Times New Roman"/>
          <w:sz w:val="28"/>
        </w:rPr>
        <w:t>источник финансирования – бюджет субъекта Российской Федерации (Ставропольский край), КБК – 12000000000000003510</w:t>
      </w:r>
      <w:r>
        <w:rPr>
          <w:rFonts w:ascii="Times New Roman" w:hAnsi="Times New Roman"/>
          <w:sz w:val="28"/>
          <w:lang w:eastAsia="ru-RU"/>
        </w:rPr>
        <w:t>;</w:t>
      </w:r>
    </w:p>
    <w:p>
      <w:pPr>
        <w:pStyle w:val="P3"/>
        <w:numPr>
          <w:ilvl w:val="0"/>
          <w:numId w:val="27"/>
        </w:numPr>
        <w:tabs>
          <w:tab w:val="left" w:pos="993" w:leader="none"/>
        </w:tabs>
        <w:spacing w:lineRule="exact" w:line="400" w:after="0" w:beforeAutospacing="0" w:afterAutospacing="0"/>
        <w:ind w:firstLine="709" w:left="0"/>
        <w:jc w:val="both"/>
        <w:rPr>
          <w:rFonts w:ascii="Times New Roman" w:hAnsi="Times New Roman"/>
          <w:sz w:val="28"/>
          <w:lang w:eastAsia="ru-RU"/>
        </w:rPr>
      </w:pPr>
      <w:r>
        <w:rPr>
          <w:rFonts w:ascii="Times New Roman" w:hAnsi="Times New Roman"/>
          <w:sz w:val="28"/>
          <w:shd w:val="clear" w:fill="FFFFFF"/>
        </w:rPr>
        <w:t xml:space="preserve">дата окончания срока подачи заявок на участие в Конкурсе </w:t>
      </w:r>
      <w:r>
        <w:rPr>
          <w:rFonts w:ascii="Times New Roman" w:hAnsi="Times New Roman"/>
          <w:sz w:val="28"/>
        </w:rPr>
        <w:t>– 09.02.2021;</w:t>
      </w:r>
    </w:p>
    <w:p>
      <w:pPr>
        <w:pStyle w:val="P3"/>
        <w:numPr>
          <w:ilvl w:val="0"/>
          <w:numId w:val="27"/>
        </w:numPr>
        <w:tabs>
          <w:tab w:val="left" w:pos="993" w:leader="none"/>
        </w:tabs>
        <w:spacing w:lineRule="exact" w:line="400" w:after="0" w:beforeAutospacing="0" w:afterAutospacing="0"/>
        <w:ind w:firstLine="709" w:left="0"/>
        <w:jc w:val="both"/>
        <w:rPr>
          <w:rFonts w:ascii="Times New Roman" w:hAnsi="Times New Roman"/>
          <w:sz w:val="28"/>
          <w:lang w:eastAsia="ru-RU"/>
        </w:rPr>
      </w:pPr>
      <w:r>
        <w:rPr>
          <w:rFonts w:ascii="Times New Roman" w:hAnsi="Times New Roman"/>
          <w:sz w:val="28"/>
        </w:rPr>
        <w:t>на участие в Конкурсе подано 5 заявок от участников закупки;</w:t>
      </w:r>
    </w:p>
    <w:p>
      <w:pPr>
        <w:pStyle w:val="P3"/>
        <w:numPr>
          <w:ilvl w:val="0"/>
          <w:numId w:val="27"/>
        </w:numPr>
        <w:tabs>
          <w:tab w:val="left" w:pos="993" w:leader="none"/>
        </w:tabs>
        <w:spacing w:lineRule="exact" w:line="400" w:after="0" w:beforeAutospacing="0" w:afterAutospacing="0"/>
        <w:ind w:firstLine="709" w:left="0"/>
        <w:jc w:val="both"/>
        <w:rPr>
          <w:rFonts w:ascii="Times New Roman" w:hAnsi="Times New Roman"/>
          <w:sz w:val="28"/>
          <w:lang w:eastAsia="ru-RU"/>
        </w:rPr>
      </w:pPr>
      <w:r>
        <w:rPr>
          <w:rFonts w:ascii="Times New Roman" w:hAnsi="Times New Roman"/>
          <w:sz w:val="28"/>
        </w:rPr>
        <w:t>дата рассмотрения вторых частей заявок на участие в Конкурсе – 15</w:t>
      </w:r>
      <w:bookmarkStart w:id="0" w:name="_GoBack"/>
      <w:bookmarkEnd w:id="0"/>
      <w:r>
        <w:rPr>
          <w:rFonts w:ascii="Times New Roman" w:hAnsi="Times New Roman"/>
          <w:sz w:val="28"/>
        </w:rPr>
        <w:t>.02.2021.</w:t>
      </w:r>
    </w:p>
    <w:p>
      <w:pPr>
        <w:tabs>
          <w:tab w:val="left" w:pos="993" w:leader="none"/>
        </w:tabs>
        <w:spacing w:lineRule="exact" w:line="400" w:after="0" w:beforeAutospacing="0" w:afterAutospacing="0"/>
        <w:ind w:firstLine="709"/>
        <w:jc w:val="both"/>
        <w:rPr>
          <w:rFonts w:ascii="Times New Roman" w:hAnsi="Times New Roman"/>
          <w:sz w:val="28"/>
        </w:rPr>
      </w:pPr>
      <w:r>
        <w:rPr>
          <w:rFonts w:ascii="Times New Roman" w:hAnsi="Times New Roman"/>
          <w:sz w:val="28"/>
        </w:rPr>
        <w:t>1. Согласно доводу Заявителя, Заказчиком, Уполномоченным органом в Конкурсной документации ненадлежащим образом установлен порядок оценки заявок участников закупки по Показателю № 1 Критерия № 1.</w:t>
      </w:r>
    </w:p>
    <w:p>
      <w:pPr>
        <w:tabs>
          <w:tab w:val="left" w:pos="993" w:leader="none"/>
        </w:tabs>
        <w:spacing w:lineRule="exact" w:line="400" w:after="0" w:beforeAutospacing="0" w:afterAutospacing="0"/>
        <w:ind w:firstLine="709"/>
        <w:jc w:val="both"/>
        <w:rPr>
          <w:rFonts w:ascii="Times New Roman" w:hAnsi="Times New Roman"/>
          <w:sz w:val="28"/>
        </w:rPr>
      </w:pPr>
      <w:r>
        <w:rPr>
          <w:rFonts w:ascii="Times New Roman" w:hAnsi="Times New Roman"/>
          <w:sz w:val="28"/>
        </w:rPr>
        <w:t>В соответствии с пунктом 8 части 1 статьи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Законом о контрактной системе.</w:t>
      </w:r>
    </w:p>
    <w:p>
      <w:pPr>
        <w:tabs>
          <w:tab w:val="left" w:pos="993" w:leader="none"/>
        </w:tabs>
        <w:spacing w:lineRule="exact" w:line="400" w:after="0" w:beforeAutospacing="0" w:afterAutospacing="0"/>
        <w:ind w:firstLine="709"/>
        <w:jc w:val="both"/>
        <w:rPr>
          <w:rFonts w:ascii="Times New Roman" w:hAnsi="Times New Roman"/>
          <w:sz w:val="28"/>
        </w:rPr>
      </w:pPr>
      <w:r>
        <w:rPr>
          <w:rFonts w:ascii="Times New Roman" w:hAnsi="Times New Roman"/>
          <w:sz w:val="28"/>
        </w:rPr>
        <w:t xml:space="preserve">Согласно части 6 статьи 54.7 Закона о контрактной системе конкурсная комиссия осуществляет оценку вторых частей заявок на участие в открытом конкурсе в электронной форме, в отношении которых принято решение о соответствии требованиям, установленным конкурсной документацией, для выявления победителя такого конкурса на основе критериев, указанных в конкурсной документации и относящихся ко второй части заявки (при установлении этих критериев в конкурсной документации). </w:t>
      </w:r>
    </w:p>
    <w:p>
      <w:pPr>
        <w:tabs>
          <w:tab w:val="left" w:pos="993" w:leader="none"/>
        </w:tabs>
        <w:spacing w:lineRule="exact" w:line="400" w:after="0" w:beforeAutospacing="0" w:afterAutospacing="0"/>
        <w:ind w:firstLine="709"/>
        <w:jc w:val="both"/>
        <w:rPr>
          <w:rFonts w:ascii="Times New Roman" w:hAnsi="Times New Roman"/>
          <w:sz w:val="28"/>
        </w:rPr>
      </w:pPr>
      <w:r>
        <w:rPr>
          <w:rFonts w:ascii="Times New Roman" w:hAnsi="Times New Roman"/>
          <w:sz w:val="28"/>
        </w:rPr>
        <w:t xml:space="preserve">В соответствии с частью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pPr>
        <w:tabs>
          <w:tab w:val="left" w:pos="993" w:leader="none"/>
        </w:tabs>
        <w:spacing w:lineRule="exact" w:line="400" w:after="0" w:beforeAutospacing="0" w:afterAutospacing="0"/>
        <w:ind w:firstLine="709"/>
        <w:jc w:val="both"/>
        <w:rPr>
          <w:rFonts w:ascii="Times New Roman" w:hAnsi="Times New Roman"/>
          <w:sz w:val="28"/>
        </w:rPr>
      </w:pPr>
      <w:r>
        <w:rPr>
          <w:rFonts w:ascii="Times New Roman" w:hAnsi="Times New Roman"/>
          <w:sz w:val="28"/>
        </w:rPr>
        <w:t>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pPr>
        <w:tabs>
          <w:tab w:val="left" w:pos="993" w:leader="none"/>
        </w:tabs>
        <w:spacing w:lineRule="exact" w:line="400" w:after="0" w:beforeAutospacing="0" w:afterAutospacing="0"/>
        <w:ind w:firstLine="709"/>
        <w:jc w:val="both"/>
        <w:rPr>
          <w:rFonts w:ascii="Times New Roman" w:hAnsi="Times New Roman"/>
          <w:sz w:val="28"/>
        </w:rPr>
      </w:pPr>
      <w:r>
        <w:rPr>
          <w:rFonts w:ascii="Times New Roman" w:hAnsi="Times New Roman"/>
          <w:sz w:val="28"/>
        </w:rPr>
        <w:t>В соответствии с пунктом 10 Правил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нестоимостным критериям оценки.</w:t>
      </w:r>
    </w:p>
    <w:p>
      <w:pPr>
        <w:tabs>
          <w:tab w:val="left" w:pos="993" w:leader="none"/>
        </w:tabs>
        <w:spacing w:lineRule="exact" w:line="400" w:after="0" w:beforeAutospacing="0" w:afterAutospacing="0"/>
        <w:ind w:firstLine="709"/>
        <w:jc w:val="both"/>
        <w:rPr>
          <w:rFonts w:ascii="Times New Roman" w:hAnsi="Times New Roman"/>
          <w:sz w:val="28"/>
        </w:rPr>
      </w:pPr>
      <w:r>
        <w:rPr>
          <w:rFonts w:ascii="Times New Roman" w:hAnsi="Times New Roman"/>
          <w:sz w:val="28"/>
        </w:rPr>
        <w:t>Пунктом 11 Правил установлено, что для оценки заявок (предложений) по каждому критерию оценки используется 100-балльная шкала оценки. Если в соответствии с пунктом 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 Для оценки заявок (предложений) по нестоимостным критериям оценки (показателям) заказчик вправе устанавливать предельно необходимое минимальное или максимальное количественное значение качественных, функциональных, экологических и квалификационных характеристик, которые подлежат оценке в рамках указанных критериев. В этом случае при оценке заявок (предложений) по таким критериям (показателям) участникам закупки, сделавшим предложение, соответствующее такому значению, или лучшее предложение, присваивается 100 баллов.</w:t>
      </w:r>
    </w:p>
    <w:p>
      <w:pPr>
        <w:tabs>
          <w:tab w:val="left" w:pos="993" w:leader="none"/>
        </w:tabs>
        <w:spacing w:lineRule="exact" w:line="400" w:after="0" w:beforeAutospacing="0" w:afterAutospacing="0"/>
        <w:ind w:firstLine="709"/>
        <w:jc w:val="both"/>
        <w:rPr>
          <w:rFonts w:ascii="Times New Roman" w:hAnsi="Times New Roman"/>
          <w:sz w:val="28"/>
        </w:rPr>
      </w:pPr>
      <w:r>
        <w:rPr>
          <w:rFonts w:ascii="Times New Roman" w:hAnsi="Times New Roman"/>
          <w:sz w:val="28"/>
        </w:rPr>
        <w:t>Конкурсной документацией установлен следующий порядок оценки заявок:</w:t>
      </w:r>
    </w:p>
    <w:p>
      <w:pPr>
        <w:tabs>
          <w:tab w:val="left" w:pos="993" w:leader="none"/>
        </w:tabs>
        <w:spacing w:lineRule="exact" w:line="400" w:after="0" w:beforeAutospacing="0" w:afterAutospacing="0"/>
        <w:ind w:firstLine="709"/>
        <w:jc w:val="both"/>
        <w:rPr>
          <w:rFonts w:ascii="Times New Roman" w:hAnsi="Times New Roman"/>
          <w:sz w:val="28"/>
        </w:rPr>
      </w:pPr>
      <w:r>
        <w:rPr>
          <w:rFonts w:ascii="Times New Roman" w:hAnsi="Times New Roman"/>
          <w:sz w:val="28"/>
        </w:rPr>
        <w:t>1) Критерий «Цена контракта» – 60 %; Коэффициент значимости равен 0,6;</w:t>
      </w:r>
    </w:p>
    <w:p>
      <w:pPr>
        <w:tabs>
          <w:tab w:val="left" w:pos="993" w:leader="none"/>
        </w:tabs>
        <w:spacing w:lineRule="exact" w:line="400" w:after="0" w:beforeAutospacing="0" w:afterAutospacing="0"/>
        <w:ind w:firstLine="709"/>
        <w:jc w:val="both"/>
        <w:rPr>
          <w:rFonts w:ascii="Times New Roman" w:hAnsi="Times New Roman"/>
          <w:sz w:val="28"/>
        </w:rPr>
      </w:pPr>
      <w:r>
        <w:rPr>
          <w:rFonts w:ascii="Times New Roman" w:hAnsi="Times New Roman"/>
          <w:sz w:val="28"/>
        </w:rPr>
        <w:t xml:space="preserve">2) Критерий № 1 – 40 %; Коэффициент значимости равен 0,4. </w:t>
      </w:r>
    </w:p>
    <w:p>
      <w:pPr>
        <w:tabs>
          <w:tab w:val="left" w:pos="993" w:leader="none"/>
        </w:tabs>
        <w:spacing w:lineRule="exact" w:line="400" w:after="0" w:beforeAutospacing="0" w:afterAutospacing="0"/>
        <w:ind w:firstLine="709"/>
        <w:jc w:val="both"/>
        <w:rPr>
          <w:rFonts w:ascii="Times New Roman" w:hAnsi="Times New Roman"/>
          <w:sz w:val="28"/>
        </w:rPr>
      </w:pPr>
      <w:r>
        <w:rPr>
          <w:rFonts w:ascii="Times New Roman" w:hAnsi="Times New Roman"/>
          <w:sz w:val="28"/>
        </w:rPr>
        <w:t xml:space="preserve">Согласно Конкурсной документации Критерий № 1 содержит              Показатель № 1, в рамках которого оценивается наибольшая цена одного из исполненных контрактов (договоров). Для оценки заявок по заданному показателю участниками закупки должны быть представлены следующие документы:</w:t>
      </w:r>
    </w:p>
    <w:p>
      <w:pPr>
        <w:tabs>
          <w:tab w:val="left" w:pos="993" w:leader="none"/>
        </w:tabs>
        <w:spacing w:lineRule="exact" w:line="400" w:after="0" w:beforeAutospacing="0" w:afterAutospacing="0"/>
        <w:ind w:firstLine="709"/>
        <w:jc w:val="both"/>
        <w:rPr>
          <w:rFonts w:ascii="Times New Roman" w:hAnsi="Times New Roman"/>
          <w:sz w:val="28"/>
        </w:rPr>
      </w:pPr>
      <w:r>
        <w:rPr>
          <w:rFonts w:ascii="Times New Roman" w:hAnsi="Times New Roman"/>
          <w:sz w:val="28"/>
        </w:rPr>
        <w:t>«- копия исполненного контракта (договора) на выполнение работ по строительству, реконструкции линейного объекта капитального строительства;</w:t>
      </w:r>
    </w:p>
    <w:p>
      <w:pPr>
        <w:tabs>
          <w:tab w:val="left" w:pos="993" w:leader="none"/>
        </w:tabs>
        <w:spacing w:lineRule="exact" w:line="400" w:after="0" w:beforeAutospacing="0" w:afterAutospacing="0"/>
        <w:ind w:firstLine="709"/>
        <w:jc w:val="both"/>
        <w:rPr>
          <w:rFonts w:ascii="Times New Roman" w:hAnsi="Times New Roman"/>
          <w:sz w:val="28"/>
        </w:rPr>
      </w:pPr>
      <w:r>
        <w:rPr>
          <w:rFonts w:ascii="Times New Roman" w:hAnsi="Times New Roman"/>
          <w:sz w:val="28"/>
        </w:rPr>
        <w:t>- копии(-я) актов(-а) о приемке выполненных работ, подтверждающие(-ая) выполнение работ по контракту (договору);</w:t>
      </w:r>
    </w:p>
    <w:p>
      <w:pPr>
        <w:tabs>
          <w:tab w:val="left" w:pos="993" w:leader="none"/>
        </w:tabs>
        <w:spacing w:lineRule="exact" w:line="400" w:after="0" w:beforeAutospacing="0" w:afterAutospacing="0"/>
        <w:ind w:firstLine="709"/>
        <w:jc w:val="both"/>
        <w:rPr>
          <w:rFonts w:ascii="Times New Roman" w:hAnsi="Times New Roman"/>
          <w:sz w:val="28"/>
        </w:rPr>
      </w:pPr>
      <w:r>
        <w:rPr>
          <w:rFonts w:ascii="Times New Roman" w:hAnsi="Times New Roman"/>
          <w:sz w:val="28"/>
        </w:rPr>
        <w:t>Копии контрактов (договоров) должны быть представлены в полном объеме со всеми приложениями, являющимися их неотъемлемой частью.</w:t>
      </w:r>
    </w:p>
    <w:p>
      <w:pPr>
        <w:tabs>
          <w:tab w:val="left" w:pos="993" w:leader="none"/>
        </w:tabs>
        <w:spacing w:lineRule="exact" w:line="400" w:after="0" w:beforeAutospacing="0" w:afterAutospacing="0"/>
        <w:ind w:firstLine="709"/>
        <w:jc w:val="both"/>
        <w:rPr>
          <w:rFonts w:ascii="Times New Roman" w:hAnsi="Times New Roman"/>
          <w:sz w:val="28"/>
        </w:rPr>
      </w:pPr>
      <w:r>
        <w:rPr>
          <w:rFonts w:ascii="Times New Roman" w:hAnsi="Times New Roman"/>
          <w:sz w:val="28"/>
        </w:rPr>
        <w:t>В случае отсутствия в заявке документов, подтверждающих наличие у участника закупки опыта выполнения работы – участнику закупки по данному показателю присваивается ноль баллов.</w:t>
      </w:r>
    </w:p>
    <w:p>
      <w:pPr>
        <w:tabs>
          <w:tab w:val="left" w:pos="993" w:leader="none"/>
        </w:tabs>
        <w:spacing w:lineRule="exact" w:line="400" w:after="0" w:beforeAutospacing="0" w:afterAutospacing="0"/>
        <w:ind w:firstLine="709"/>
        <w:jc w:val="both"/>
        <w:rPr>
          <w:rFonts w:ascii="Times New Roman" w:hAnsi="Times New Roman"/>
          <w:sz w:val="28"/>
        </w:rPr>
      </w:pPr>
      <w:r>
        <w:rPr>
          <w:rFonts w:ascii="Times New Roman" w:hAnsi="Times New Roman"/>
          <w:sz w:val="28"/>
        </w:rPr>
        <w:t>В соответствии с абзацем вторым пункта 11 Правил оценки заявок заказчиком установлено предельно необходимое максимальное количественное значение квалификационной характеристики – 960000000 рублей».</w:t>
      </w:r>
    </w:p>
    <w:p>
      <w:pPr>
        <w:tabs>
          <w:tab w:val="left" w:pos="993" w:leader="none"/>
        </w:tabs>
        <w:spacing w:lineRule="exact" w:line="400" w:after="0" w:beforeAutospacing="0" w:afterAutospacing="0"/>
        <w:ind w:firstLine="709"/>
        <w:jc w:val="both"/>
        <w:rPr>
          <w:rFonts w:ascii="Times New Roman" w:hAnsi="Times New Roman"/>
          <w:sz w:val="28"/>
        </w:rPr>
      </w:pPr>
      <w:r>
        <w:rPr>
          <w:rFonts w:ascii="Times New Roman" w:hAnsi="Times New Roman"/>
          <w:sz w:val="28"/>
        </w:rPr>
        <w:t xml:space="preserve">Представитель Заявителя на заседании Комиссии пояснил, что Заказчиком, Уполномоченным органом ненадлежащим образом установлен порядок оценки по Показателю № 1 Критерия № 1, поскольку в рамках указанного показателя установлено предельное максимальное количественное значение квалификационной характеристики, а также не установлено требование к сроку исполнения контрактов/договоров и отсутствует требование о предоставлении разрешения объекта на ввод в эксплуатацию. </w:t>
      </w:r>
    </w:p>
    <w:p>
      <w:pPr>
        <w:tabs>
          <w:tab w:val="left" w:pos="993" w:leader="none"/>
        </w:tabs>
        <w:spacing w:lineRule="exact" w:line="400" w:after="0" w:beforeAutospacing="0" w:afterAutospacing="0"/>
        <w:ind w:firstLine="709"/>
        <w:jc w:val="both"/>
        <w:rPr>
          <w:rFonts w:ascii="Times New Roman" w:hAnsi="Times New Roman"/>
          <w:sz w:val="28"/>
        </w:rPr>
      </w:pPr>
      <w:r>
        <w:rPr>
          <w:rFonts w:ascii="Times New Roman" w:hAnsi="Times New Roman"/>
          <w:sz w:val="28"/>
        </w:rPr>
        <w:t xml:space="preserve">На заседании Комиссии представители Заказчика, Уполномоченного органа пояснили, что вышеуказанные требования к порядку оценки заявок участников закупки, не противоречат требованиям Закона о контрактной системе и Правил. </w:t>
      </w:r>
    </w:p>
    <w:p>
      <w:pPr>
        <w:tabs>
          <w:tab w:val="left" w:pos="993" w:leader="none"/>
        </w:tabs>
        <w:spacing w:lineRule="exact" w:line="400" w:after="0" w:beforeAutospacing="0" w:afterAutospacing="0"/>
        <w:ind w:firstLine="709"/>
        <w:jc w:val="both"/>
        <w:rPr>
          <w:rFonts w:ascii="Times New Roman" w:hAnsi="Times New Roman"/>
          <w:sz w:val="28"/>
        </w:rPr>
      </w:pPr>
      <w:r>
        <w:rPr>
          <w:rFonts w:ascii="Times New Roman" w:hAnsi="Times New Roman"/>
          <w:sz w:val="28"/>
        </w:rPr>
        <w:t xml:space="preserve">При этом на заседании Комиссии представитель Заявителя не представил документы и сведения, свидетельствующие об обратном. </w:t>
      </w:r>
    </w:p>
    <w:p>
      <w:pPr>
        <w:spacing w:lineRule="exact" w:line="400" w:after="0" w:beforeAutospacing="0" w:afterAutospacing="0"/>
        <w:ind w:firstLine="709"/>
        <w:jc w:val="both"/>
        <w:rPr>
          <w:rFonts w:ascii="Times New Roman" w:hAnsi="Times New Roman"/>
          <w:sz w:val="28"/>
        </w:rPr>
      </w:pPr>
      <w:r>
        <w:rPr>
          <w:rFonts w:ascii="Times New Roman" w:hAnsi="Times New Roman"/>
          <w:sz w:val="28"/>
        </w:rPr>
        <w:t>Также на заседании Комиссии представитель Заявителя пояснил, что Заказчиком, Уполномоченным органом ненадлежащим образом установлен порядок оценки по Показателю № 1 Критерия № 1, поскольку в рамках указанного показателя неправомерно установлено требование о предоставлении в полном объеме копии всех приложений к контрактам/договорам, в том числе проектной сметной документации, технического задания и иных документов.</w:t>
      </w:r>
    </w:p>
    <w:p>
      <w:pPr>
        <w:spacing w:lineRule="exact" w:line="400" w:after="0" w:beforeAutospacing="0" w:afterAutospacing="0"/>
        <w:ind w:firstLine="709"/>
        <w:jc w:val="both"/>
        <w:rPr>
          <w:rFonts w:ascii="Times New Roman" w:hAnsi="Times New Roman"/>
          <w:sz w:val="28"/>
        </w:rPr>
      </w:pPr>
      <w:r>
        <w:rPr>
          <w:rFonts w:ascii="Times New Roman" w:hAnsi="Times New Roman"/>
          <w:sz w:val="28"/>
        </w:rPr>
        <w:t>Изучив указанный порядок оценки, Комиссия приходит к выводу, что Заказчиком, Уполномоченным органом в Конкурсной документации ненадлежащим образом установлен порядок оценки заявок участников закупки по Показателю № 1 Критерия № 1, поскольку отсутствие вышеуказанных приложений к исполненному контракту/договору, не свидетельствует об отсутствии у участника закупки, подавшего такую заявку, требуемого опыта выполнения работ.</w:t>
      </w:r>
    </w:p>
    <w:p>
      <w:pPr>
        <w:spacing w:lineRule="exact" w:line="400" w:after="0" w:beforeAutospacing="0" w:afterAutospacing="0"/>
        <w:ind w:firstLine="709"/>
        <w:jc w:val="both"/>
        <w:rPr>
          <w:rFonts w:ascii="Times New Roman" w:hAnsi="Times New Roman"/>
          <w:sz w:val="28"/>
        </w:rPr>
      </w:pPr>
      <w:r>
        <w:rPr>
          <w:rFonts w:ascii="Times New Roman" w:hAnsi="Times New Roman"/>
          <w:sz w:val="28"/>
        </w:rPr>
        <w:t xml:space="preserve">Учитывая изложенное, действия Заказчика, Уполномоченного органа, установивших в Конкурсной документации ненадлежащий порядок оценки заявок на участие в Конкурсе по Показателю № 1 Критерия № 1, нарушают пункт 8                 части 1 статьи 54.3 Закона о контрактной системе и содержат признаки состава административного правонарушения, ответственность за которое предусмотрена частью 4.2 статьи 7.30 Кодекса Российской Федерации об административных правонарушениях.</w:t>
      </w:r>
    </w:p>
    <w:p>
      <w:pPr>
        <w:spacing w:lineRule="exact" w:line="400" w:after="0" w:beforeAutospacing="0" w:afterAutospacing="0"/>
        <w:ind w:firstLine="709"/>
        <w:jc w:val="both"/>
        <w:rPr>
          <w:rFonts w:ascii="Times New Roman" w:hAnsi="Times New Roman"/>
          <w:sz w:val="28"/>
        </w:rPr>
      </w:pPr>
      <w:r>
        <w:rPr>
          <w:rFonts w:ascii="Times New Roman" w:hAnsi="Times New Roman"/>
          <w:sz w:val="28"/>
        </w:rPr>
        <w:t>2. Согласно доводу Заявителя, Заказчиком, Уполномоченным органом в проекте контракта Конкурсной документации установлен порядок оплаты выполненных работ не в соответствии с Приказом № 9/пр.</w:t>
      </w:r>
    </w:p>
    <w:p>
      <w:pPr>
        <w:spacing w:lineRule="exact" w:line="400" w:after="0" w:beforeAutospacing="0" w:afterAutospacing="0"/>
        <w:ind w:firstLine="709"/>
        <w:jc w:val="both"/>
        <w:rPr>
          <w:rFonts w:ascii="Times New Roman" w:hAnsi="Times New Roman"/>
          <w:sz w:val="28"/>
        </w:rPr>
      </w:pPr>
      <w:r>
        <w:rPr>
          <w:rFonts w:ascii="Times New Roman" w:hAnsi="Times New Roman"/>
          <w:sz w:val="28"/>
        </w:rPr>
        <w:t>В соответствии с частью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spacing w:lineRule="exact" w:line="400" w:after="0" w:beforeAutospacing="0" w:afterAutospacing="0"/>
        <w:ind w:firstLine="709"/>
        <w:jc w:val="both"/>
        <w:rPr>
          <w:rFonts w:ascii="Times New Roman" w:hAnsi="Times New Roman"/>
          <w:sz w:val="28"/>
        </w:rPr>
      </w:pPr>
      <w:r>
        <w:rPr>
          <w:rFonts w:ascii="Times New Roman" w:hAnsi="Times New Roman"/>
          <w:sz w:val="28"/>
        </w:rPr>
        <w:t>Согласно части 13.1 статьи 34 Закона о контрактной системе срок оплаты заказчиком поставленного товара, выполненной работы (ее результатов), оказанной услуги, отдельных этапов исполнения контракта должен составлять не более тридцати дней с даты подписания заказчиком документа о приемке, предусмотренного частью 7 статьи 94 Закона о контрактной системе, за исключением случаев, если иной срок оплаты установлен законодательством Российской Федерации, случая, указанного в части 8 статьи 30 Закона о контрактной системе, а также случаев, когда Правительством Российской Федерации в целях обеспечения обороноспособности и безопасности государства установлен иной срок оплаты.</w:t>
      </w:r>
    </w:p>
    <w:p>
      <w:pPr>
        <w:spacing w:lineRule="exact" w:line="400" w:after="0" w:beforeAutospacing="0" w:afterAutospacing="0"/>
        <w:ind w:firstLine="709"/>
        <w:jc w:val="both"/>
        <w:rPr>
          <w:rFonts w:ascii="Times New Roman" w:hAnsi="Times New Roman"/>
          <w:sz w:val="28"/>
        </w:rPr>
      </w:pPr>
      <w:r>
        <w:rPr>
          <w:rFonts w:ascii="Times New Roman" w:hAnsi="Times New Roman"/>
          <w:sz w:val="28"/>
        </w:rPr>
        <w:t>В соответствии с пунктом 2.1 Приложения № 1 к Приказу № 9/пр заказчик обязан «оплачивать выполненные по контракту работы на основании сметы контракта:</w:t>
      </w:r>
    </w:p>
    <w:p>
      <w:pPr>
        <w:spacing w:lineRule="exact" w:line="400" w:after="0" w:beforeAutospacing="0" w:afterAutospacing="0"/>
        <w:ind w:firstLine="709"/>
        <w:jc w:val="both"/>
        <w:rPr>
          <w:rFonts w:ascii="Times New Roman" w:hAnsi="Times New Roman"/>
          <w:sz w:val="28"/>
        </w:rPr>
      </w:pPr>
      <w:r>
        <w:rPr>
          <w:rFonts w:ascii="Times New Roman" w:hAnsi="Times New Roman"/>
          <w:sz w:val="28"/>
        </w:rPr>
        <w:t>вариант 1: и графика оплаты выполненных по контракту работ с учетом графика выполнения строительно-монтажных работ и фактически выполненных подрядчиком работ не позднее 30 (тридцати) календарных дней с даты подписания заказчиком акта сдачи-приемки выполненных работ;</w:t>
      </w:r>
    </w:p>
    <w:p>
      <w:pPr>
        <w:spacing w:lineRule="exact" w:line="400" w:after="0" w:beforeAutospacing="0" w:afterAutospacing="0"/>
        <w:ind w:firstLine="709"/>
        <w:jc w:val="both"/>
        <w:rPr>
          <w:rFonts w:ascii="Times New Roman" w:hAnsi="Times New Roman"/>
          <w:sz w:val="28"/>
        </w:rPr>
      </w:pPr>
      <w:r>
        <w:rPr>
          <w:rFonts w:ascii="Times New Roman" w:hAnsi="Times New Roman"/>
          <w:sz w:val="28"/>
        </w:rPr>
        <w:t>вариант 2: с учетом графика выполнения строительно-монтажных работ и фактически выполненных подрядчиком работ не позднее 30 (тридцати) календарных дней с даты подписания заказчиком акта сдачи-приемки выполненных работ;</w:t>
      </w:r>
    </w:p>
    <w:p>
      <w:pPr>
        <w:spacing w:lineRule="exact" w:line="400" w:after="0" w:beforeAutospacing="0" w:afterAutospacing="0"/>
        <w:ind w:firstLine="709"/>
        <w:jc w:val="both"/>
        <w:rPr>
          <w:rFonts w:ascii="Times New Roman" w:hAnsi="Times New Roman"/>
          <w:sz w:val="28"/>
        </w:rPr>
      </w:pPr>
      <w:r>
        <w:rPr>
          <w:rFonts w:ascii="Times New Roman" w:hAnsi="Times New Roman"/>
          <w:sz w:val="28"/>
        </w:rPr>
        <w:t>вариант 3: и графика оплаты выполненных по контракту работ с учетом графика выполнения строительно-монтажных работ и фактически выполненных подрядчиком работ не позднее 15 (пятнадцати) рабочих дней с даты подписания заказчиком акта сдачи-приемки выполненных работ;</w:t>
      </w:r>
    </w:p>
    <w:p>
      <w:pPr>
        <w:spacing w:lineRule="exact" w:line="400" w:after="0" w:beforeAutospacing="0" w:afterAutospacing="0"/>
        <w:ind w:firstLine="709"/>
        <w:jc w:val="both"/>
        <w:rPr>
          <w:rFonts w:ascii="Times New Roman" w:hAnsi="Times New Roman"/>
          <w:sz w:val="28"/>
        </w:rPr>
      </w:pPr>
      <w:r>
        <w:rPr>
          <w:rFonts w:ascii="Times New Roman" w:hAnsi="Times New Roman"/>
          <w:sz w:val="28"/>
        </w:rPr>
        <w:t>вариант 4: с учетом графика выполнения строительно-монтажных работ и фактически выполненных подрядчиком работ не позднее 15 (пятнадцати) рабочих дней с даты подписания заказчиком акта сдачи-приемки выполненных работ».</w:t>
      </w:r>
    </w:p>
    <w:p>
      <w:pPr>
        <w:spacing w:lineRule="exact" w:line="400" w:after="0" w:beforeAutospacing="0" w:afterAutospacing="0"/>
        <w:ind w:firstLine="709"/>
        <w:jc w:val="both"/>
        <w:rPr>
          <w:rFonts w:ascii="Times New Roman" w:hAnsi="Times New Roman"/>
          <w:sz w:val="28"/>
        </w:rPr>
      </w:pPr>
      <w:r>
        <w:rPr>
          <w:rFonts w:ascii="Times New Roman" w:hAnsi="Times New Roman"/>
          <w:sz w:val="28"/>
        </w:rPr>
        <w:t>На заседании Комиссии установлено, что Заказчиком, Уполномоченным органом пунктом 3.2 проекта контракта Конкурсной документации установлен следующий порядок оплаты выполненных работ: «Оплата работ по контракту будет производиться в пределах доведенных лимитов бюджетных обязательств на очередной финансовый год.</w:t>
      </w:r>
    </w:p>
    <w:p>
      <w:pPr>
        <w:spacing w:lineRule="exact" w:line="400" w:after="0" w:beforeAutospacing="0" w:afterAutospacing="0"/>
        <w:ind w:firstLine="709"/>
        <w:jc w:val="both"/>
        <w:rPr>
          <w:rFonts w:ascii="Times New Roman" w:hAnsi="Times New Roman"/>
          <w:sz w:val="28"/>
        </w:rPr>
      </w:pPr>
      <w:r>
        <w:rPr>
          <w:rFonts w:ascii="Times New Roman" w:hAnsi="Times New Roman"/>
          <w:sz w:val="28"/>
        </w:rPr>
        <w:t xml:space="preserve">Окончательный расчет будет осуществляться Заказчиком по безналичному расчету путем перечисления денежных средств Заказчиком на расчетный счет Подрядчика, указанный в контракте, за выполненные в полном объеме работы не позднее 30 (тридцати) календарных дней, с даты подписания Заказчиком акта приемки законченного строительством объекта по форме КС-11 (далее - КС-11) после завершения работ, включая устранение дефектов, выявленных при приемке результата работ, при предоставлении Подрядчиком комплекта документации, предусмотренной контрактом и законодательством Российской Федерации, после получения Заказчиком заключения органа государственного строительного надзора о соответствии построенного и (или)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заключения федерального государственного экологического надзора в случаях, предусмотренных частью 7 статьи 54 Градостроительного кодекса Российской Федерации на основании представленного Подрядчиком комплекта первичных учетных документов». </w:t>
      </w:r>
    </w:p>
    <w:p>
      <w:pPr>
        <w:spacing w:lineRule="exact" w:line="400" w:after="0" w:beforeAutospacing="0" w:afterAutospacing="0"/>
        <w:ind w:firstLine="709"/>
        <w:jc w:val="both"/>
        <w:rPr>
          <w:rFonts w:ascii="Times New Roman" w:hAnsi="Times New Roman"/>
          <w:sz w:val="28"/>
        </w:rPr>
      </w:pPr>
      <w:r>
        <w:rPr>
          <w:rFonts w:ascii="Times New Roman" w:hAnsi="Times New Roman"/>
          <w:sz w:val="28"/>
        </w:rPr>
        <w:t xml:space="preserve">Представители Заказчика, Уполномоченного органа на заседании Комиссии пояснили, что указанный в проекте контракта Конкурсной документации порядок оплаты выполненных работ установлен в соответствии с действующим законодательством Российской Федерации о контрактной системе в сфере закупок и не противоречит Приказу № 9/пр. </w:t>
      </w:r>
    </w:p>
    <w:p>
      <w:pPr>
        <w:spacing w:lineRule="exact" w:line="400" w:after="0" w:beforeAutospacing="0" w:afterAutospacing="0"/>
        <w:ind w:firstLine="709"/>
        <w:jc w:val="both"/>
        <w:rPr>
          <w:rFonts w:ascii="Times New Roman" w:hAnsi="Times New Roman"/>
          <w:sz w:val="28"/>
        </w:rPr>
      </w:pPr>
      <w:r>
        <w:rPr>
          <w:rFonts w:ascii="Times New Roman" w:hAnsi="Times New Roman"/>
          <w:sz w:val="28"/>
        </w:rPr>
        <w:t>Кроме того, пунктом 5.3.2 проекта контракта Конкурсной документации установлено следующее: «Заказчик обязан оплачивать выполненные по контракту работы на основании сметы контракта и графика оплаты выполненных по контракту работ с учетом графика выполнения строительно-монтажных работ и фактически выполненных Подрядчиком работ не позднее 30 (тридцати) календарных дней с даты подписания Заказчиком акта сдачи-приемки выполненных работ».</w:t>
      </w:r>
    </w:p>
    <w:p>
      <w:pPr>
        <w:spacing w:lineRule="exact" w:line="400" w:after="0" w:beforeAutospacing="0" w:afterAutospacing="0"/>
        <w:ind w:firstLine="709"/>
        <w:jc w:val="both"/>
        <w:rPr>
          <w:rFonts w:ascii="Times New Roman" w:hAnsi="Times New Roman"/>
          <w:sz w:val="28"/>
        </w:rPr>
      </w:pPr>
      <w:r>
        <w:rPr>
          <w:rFonts w:ascii="Times New Roman" w:hAnsi="Times New Roman"/>
          <w:sz w:val="28"/>
        </w:rPr>
        <w:t>При этом представителем Заявителя не заседании Комиссии не представлено документов и сведений, свидетельствующих об обратном.</w:t>
      </w:r>
    </w:p>
    <w:p>
      <w:pPr>
        <w:spacing w:lineRule="exact" w:line="400" w:after="0" w:beforeAutospacing="0" w:afterAutospacing="0"/>
        <w:ind w:firstLine="709"/>
        <w:jc w:val="both"/>
        <w:rPr>
          <w:rFonts w:ascii="Times New Roman" w:hAnsi="Times New Roman"/>
          <w:sz w:val="28"/>
        </w:rPr>
      </w:pPr>
      <w:r>
        <w:rPr>
          <w:rFonts w:ascii="Times New Roman" w:hAnsi="Times New Roman"/>
          <w:sz w:val="28"/>
        </w:rPr>
        <w:t>Таким образом, довод Заявителя не нашел своего подтверждения.</w:t>
      </w:r>
    </w:p>
    <w:p>
      <w:pPr>
        <w:spacing w:lineRule="exact" w:line="400" w:after="0" w:beforeAutospacing="0" w:afterAutospacing="0"/>
        <w:ind w:firstLine="709"/>
        <w:jc w:val="both"/>
        <w:rPr>
          <w:rFonts w:ascii="Times New Roman" w:hAnsi="Times New Roman"/>
          <w:sz w:val="28"/>
        </w:rPr>
      </w:pPr>
      <w:r>
        <w:rPr>
          <w:rFonts w:ascii="Times New Roman" w:hAnsi="Times New Roman"/>
          <w:sz w:val="28"/>
        </w:rPr>
        <w:t>3. Согласно доводу жалобы Заявителя Заказчиком, Уполномоченным органом в проекте контракта Конкурсной документации неправомерно не установлены виды и объемы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в соответствии с Постановлением № 570.</w:t>
      </w:r>
    </w:p>
    <w:p>
      <w:pPr>
        <w:spacing w:lineRule="exact" w:line="400" w:after="0" w:beforeAutospacing="0" w:afterAutospacing="0"/>
        <w:ind w:firstLine="709"/>
        <w:jc w:val="both"/>
        <w:rPr>
          <w:rFonts w:ascii="Times New Roman" w:hAnsi="Times New Roman"/>
          <w:sz w:val="28"/>
        </w:rPr>
      </w:pPr>
      <w:r>
        <w:rPr>
          <w:rFonts w:ascii="Times New Roman" w:hAnsi="Times New Roman"/>
          <w:sz w:val="28"/>
        </w:rPr>
        <w:t>Пунктом 5 статьи 3 Закона о контрактной системе установлено, что государственный заказчик - государственный орган (в том числе орган государственной власти), Государственная корпорация по атомной энергии «Росатом», Государственная корпорация по космической деятельности «Роскосмос», орган управления государственным внебюджетным фондом либо государственное казенное учреждение, действующие от имени Российской Федерации или субъекта Российской Федерации, уполномоченные принимать бюджетные обязательства в соответствии с бюджетным законодательством Российской Федерации от имени Российской Федерации или субъекта Российской Федерации и осуществляющие закупки.</w:t>
      </w:r>
    </w:p>
    <w:p>
      <w:pPr>
        <w:spacing w:lineRule="exact" w:line="400" w:after="0" w:beforeAutospacing="0" w:afterAutospacing="0"/>
        <w:ind w:firstLine="709"/>
        <w:jc w:val="both"/>
        <w:rPr>
          <w:rFonts w:ascii="Times New Roman" w:hAnsi="Times New Roman"/>
          <w:sz w:val="28"/>
        </w:rPr>
      </w:pPr>
      <w:r>
        <w:rPr>
          <w:rFonts w:ascii="Times New Roman" w:hAnsi="Times New Roman"/>
          <w:sz w:val="28"/>
        </w:rPr>
        <w:t>Согласно пункту 6 статьи 3 Закона о контрактной системе муниципальный заказчик - муниципальный орган или муниципальное казенное учреждение, действующие от имени муниципального образования, уполномоченные принимать бюджетные обязательства в соответствии с бюджетным законодательством Российской Федерации от имени муниципального образования и осуществляющие закупки.</w:t>
      </w:r>
    </w:p>
    <w:p>
      <w:pPr>
        <w:spacing w:lineRule="exact" w:line="400" w:after="0" w:beforeAutospacing="0" w:afterAutospacing="0"/>
        <w:ind w:firstLine="709"/>
        <w:jc w:val="both"/>
        <w:rPr>
          <w:rFonts w:ascii="Times New Roman" w:hAnsi="Times New Roman"/>
          <w:sz w:val="28"/>
        </w:rPr>
      </w:pPr>
      <w:r>
        <w:rPr>
          <w:rFonts w:ascii="Times New Roman" w:hAnsi="Times New Roman"/>
          <w:sz w:val="28"/>
        </w:rPr>
        <w:t xml:space="preserve">В соответствии с пунктом 7 статьи 3 Закона о контрактной системе                заказчик – государственный или муниципальный заказчик либо в соответствии с частями 1 и 2.1 статьи 15 Закона о контрактной системе бюджетное учреждение, государственное, муниципальное унитарные предприятия, осуществляющие закупки.</w:t>
      </w:r>
    </w:p>
    <w:p>
      <w:pPr>
        <w:spacing w:lineRule="exact" w:line="400" w:after="0" w:beforeAutospacing="0" w:afterAutospacing="0"/>
        <w:ind w:firstLine="709"/>
        <w:jc w:val="both"/>
        <w:rPr>
          <w:rFonts w:ascii="Times New Roman" w:hAnsi="Times New Roman"/>
          <w:sz w:val="28"/>
        </w:rPr>
      </w:pPr>
      <w:r>
        <w:rPr>
          <w:rFonts w:ascii="Times New Roman" w:hAnsi="Times New Roman"/>
          <w:sz w:val="28"/>
        </w:rPr>
        <w:t>Согласно пункту 8 статьи 3 Закона о контрактной системе государственный контракт, муниципальный контракт – договор, заключенный от имени Российской Федерации, субъекта Российской Федерации (государственный контракт), муниципального образования (муниципальный контракт) государственным или муниципальным заказчиком для обеспечения соответственно государственных нужд, муниципальных нужд.</w:t>
      </w:r>
    </w:p>
    <w:p>
      <w:pPr>
        <w:spacing w:lineRule="exact" w:line="400" w:after="0" w:beforeAutospacing="0" w:afterAutospacing="0"/>
        <w:ind w:firstLine="709"/>
        <w:jc w:val="both"/>
        <w:rPr>
          <w:rFonts w:ascii="Times New Roman" w:hAnsi="Times New Roman"/>
          <w:sz w:val="28"/>
        </w:rPr>
      </w:pPr>
      <w:r>
        <w:rPr>
          <w:rFonts w:ascii="Times New Roman" w:hAnsi="Times New Roman"/>
          <w:sz w:val="28"/>
        </w:rPr>
        <w:t>Таким образом, исходя из вышеуказанных положений Закона о контрактной системе, государственный (муниципальный) контракт может быть заключен исключительно государственными и/или муниципальными заказчиками.</w:t>
      </w:r>
    </w:p>
    <w:p>
      <w:pPr>
        <w:spacing w:lineRule="exact" w:line="400" w:after="0" w:beforeAutospacing="0" w:afterAutospacing="0"/>
        <w:ind w:firstLine="709"/>
        <w:jc w:val="both"/>
        <w:rPr>
          <w:rFonts w:ascii="Times New Roman" w:hAnsi="Times New Roman"/>
          <w:color w:val="000000"/>
          <w:sz w:val="28"/>
        </w:rPr>
      </w:pPr>
      <w:r>
        <w:rPr>
          <w:rFonts w:ascii="Times New Roman" w:hAnsi="Times New Roman"/>
          <w:sz w:val="28"/>
        </w:rPr>
        <w:t xml:space="preserve">На заседании Комиссии установлено, что в соответствии с законодательством Российской Федерации Заказчик относится к бюджетным учреждениям, которые по результатам проведения закупок в соответствии с Законом о контрактной системе заключают гражданско-правовой договор, </w:t>
      </w:r>
      <w:r>
        <w:rPr>
          <w:rFonts w:ascii="Times New Roman" w:hAnsi="Times New Roman"/>
          <w:color w:val="000000"/>
          <w:sz w:val="28"/>
        </w:rPr>
        <w:t xml:space="preserve">в связи с чем требование об установлении положений, предусмотренных Постановлением № 570, к закупке не применяются. </w:t>
      </w:r>
    </w:p>
    <w:p>
      <w:pPr>
        <w:spacing w:lineRule="exact" w:line="400" w:after="0" w:beforeAutospacing="0" w:afterAutospacing="0"/>
        <w:ind w:firstLine="709"/>
        <w:jc w:val="both"/>
        <w:rPr>
          <w:rFonts w:ascii="Times New Roman" w:hAnsi="Times New Roman"/>
          <w:sz w:val="28"/>
        </w:rPr>
      </w:pPr>
      <w:r>
        <w:rPr>
          <w:rFonts w:ascii="Times New Roman" w:hAnsi="Times New Roman"/>
          <w:color w:val="000000"/>
          <w:sz w:val="28"/>
        </w:rPr>
        <w:t xml:space="preserve">Кроме того, учитывая, что </w:t>
      </w:r>
      <w:r>
        <w:rPr>
          <w:rFonts w:ascii="Times New Roman" w:hAnsi="Times New Roman"/>
          <w:sz w:val="28"/>
        </w:rPr>
        <w:t>представителем Заявителя не заседании Комиссии не представлено документов и сведений, свидетельствующих об обратном</w:t>
      </w:r>
      <w:r>
        <w:rPr>
          <w:rFonts w:ascii="Times New Roman" w:hAnsi="Times New Roman"/>
          <w:color w:val="000000"/>
          <w:sz w:val="28"/>
        </w:rPr>
        <w:t>, Комиссия приходит к выводу, что довод Заявителя не нашел своего подтверждения.</w:t>
      </w:r>
    </w:p>
    <w:p>
      <w:pPr>
        <w:spacing w:lineRule="exact" w:line="400" w:after="0" w:beforeAutospacing="0" w:afterAutospacing="0"/>
        <w:ind w:firstLine="709"/>
        <w:jc w:val="both"/>
        <w:rPr>
          <w:rFonts w:ascii="Times New Roman" w:hAnsi="Times New Roman"/>
          <w:sz w:val="28"/>
        </w:rPr>
      </w:pPr>
      <w:r>
        <w:rPr>
          <w:rFonts w:ascii="Times New Roman" w:hAnsi="Times New Roman"/>
          <w:sz w:val="28"/>
        </w:rPr>
        <w:t xml:space="preserve">4. Согласно доводу Заявителя, Заказчиком, Уполномоченным органом в проекте контракта Конкурсной документации неправомерно не установлен порядок организации процесса утилизации отходов. </w:t>
      </w:r>
    </w:p>
    <w:p>
      <w:pPr>
        <w:spacing w:lineRule="exact" w:line="400" w:after="0" w:beforeAutospacing="0" w:afterAutospacing="0"/>
        <w:ind w:firstLine="709"/>
        <w:jc w:val="both"/>
        <w:rPr>
          <w:rFonts w:ascii="Times New Roman" w:hAnsi="Times New Roman"/>
          <w:sz w:val="28"/>
        </w:rPr>
      </w:pPr>
      <w:r>
        <w:rPr>
          <w:rFonts w:ascii="Times New Roman" w:hAnsi="Times New Roman"/>
          <w:sz w:val="28"/>
        </w:rPr>
        <w:t>Представители Заказчика, Уполномоченного органа на заседании Комиссии пояснили, что в соответствии с пунктом 1.1 проекта контракта Конкурсной документации предметом контракта является строительство объекта «Кавминводский велотерренкур». При этом работы должны быть выполнены на условиях, предусмотренных проектом контракта Конкурсной документации, приложениями к нему, в том числе проектной сметной документации.</w:t>
      </w:r>
    </w:p>
    <w:p>
      <w:pPr>
        <w:spacing w:lineRule="exact" w:line="400" w:after="0" w:beforeAutospacing="0" w:afterAutospacing="0"/>
        <w:ind w:firstLine="709"/>
        <w:jc w:val="both"/>
        <w:rPr>
          <w:rFonts w:ascii="Times New Roman" w:hAnsi="Times New Roman"/>
          <w:sz w:val="28"/>
        </w:rPr>
      </w:pPr>
      <w:r>
        <w:rPr>
          <w:rFonts w:ascii="Times New Roman" w:hAnsi="Times New Roman"/>
          <w:sz w:val="28"/>
        </w:rPr>
        <w:t>При этом представителем Заявителя не заседании Комиссии не представлено документов и сведений, свидетельствующих об обратном.</w:t>
      </w:r>
    </w:p>
    <w:p>
      <w:pPr>
        <w:spacing w:lineRule="exact" w:line="400" w:after="0" w:beforeAutospacing="0" w:afterAutospacing="0"/>
        <w:ind w:firstLine="709"/>
        <w:jc w:val="both"/>
        <w:rPr>
          <w:rFonts w:ascii="Times New Roman" w:hAnsi="Times New Roman"/>
          <w:sz w:val="28"/>
        </w:rPr>
      </w:pPr>
      <w:r>
        <w:rPr>
          <w:rFonts w:ascii="Times New Roman" w:hAnsi="Times New Roman"/>
          <w:sz w:val="28"/>
        </w:rPr>
        <w:t>Таким образом, довод Заявителя не нашел своего подтверждения.</w:t>
      </w:r>
    </w:p>
    <w:p>
      <w:pPr>
        <w:spacing w:lineRule="exact" w:line="400" w:after="0" w:beforeAutospacing="0" w:afterAutospacing="0"/>
        <w:ind w:firstLine="709"/>
        <w:jc w:val="both"/>
        <w:rPr>
          <w:rFonts w:ascii="Times New Roman" w:hAnsi="Times New Roman"/>
          <w:sz w:val="28"/>
        </w:rPr>
      </w:pPr>
      <w:r>
        <w:rPr>
          <w:rFonts w:ascii="Times New Roman" w:hAnsi="Times New Roman"/>
          <w:sz w:val="28"/>
        </w:rPr>
        <w:t>5. Согласно доводу Заявителя, Заказчиком, Уполномоченным органом в Конкурсной документации ненадлежащим образом установлено описание объекта закупки, поскольку в извещении о проведении Конкурса не приведен исчерпывающий перечень документов, подтверждающих соответствие участников закупки требованиям статьи 31 Закона о контрактной системе.</w:t>
      </w:r>
    </w:p>
    <w:p>
      <w:pPr>
        <w:spacing w:lineRule="exact" w:line="400" w:after="0" w:beforeAutospacing="0" w:afterAutospacing="0"/>
        <w:ind w:firstLine="709"/>
        <w:jc w:val="both"/>
        <w:rPr>
          <w:rFonts w:ascii="Times New Roman" w:hAnsi="Times New Roman"/>
          <w:sz w:val="28"/>
        </w:rPr>
      </w:pPr>
      <w:r>
        <w:rPr>
          <w:rFonts w:ascii="Times New Roman" w:hAnsi="Times New Roman"/>
          <w:sz w:val="28"/>
        </w:rPr>
        <w:t>В соответствии с пунктом 2 статьи 42 Закона о контрактной системе заказчик обязан разместить извещение об осуществлении закупки в единой информационной системе, если иное не предусмотрено Законом о контрактной системе. В извещении об осуществлении закупки должна содержаться, если иное не предусмотрено Законом о контрактной системе, в том числе размер и порядок внесения денежных средств в качестве обеспечения заявок на участие в закупке, а также условия банковской гарантии (если такой способ обеспечения заявок применим в соответствии с Законом о контрактной системе), размер обеспечения исполнения контракта, требования к такому обеспечению, порядок предоставления такого обеспечения, устанавливаемые в соответствии с Законом о контрактной системе (если установление требования обеспечения исполнения контракта предусмотрено статьей 96 Закона о контрактной системе), а также информация о банковском сопровождении контракта в соответствии со статьей 35 Законом о контрактной системе.</w:t>
      </w:r>
    </w:p>
    <w:p>
      <w:pPr>
        <w:spacing w:lineRule="exact" w:line="400" w:after="0" w:beforeAutospacing="0" w:afterAutospacing="0"/>
        <w:ind w:firstLine="709"/>
        <w:jc w:val="both"/>
        <w:rPr>
          <w:rFonts w:ascii="Times New Roman" w:hAnsi="Times New Roman"/>
          <w:sz w:val="28"/>
        </w:rPr>
      </w:pPr>
      <w:r>
        <w:rPr>
          <w:rFonts w:ascii="Times New Roman" w:hAnsi="Times New Roman"/>
          <w:sz w:val="28"/>
        </w:rPr>
        <w:t>Согласно части 3 статьи 54.2 извещении о проведении открытого конкурса в электронной форме наряду с информацией, предусмотренной статьей 42 Закона о контрактной системе, указываются, в том числе требования, предъявляемые к участникам открытого конкурса в электронной форме, и исчерпывающий перечень документов, которые должны быть представлены участниками открытого конкурса в электронной форме в соответствии с пунктом 1 части 1 статьи 31 Закона о контрактной системе, а также требование, предъявляемое к участникам открытого конкурса в электронной форме в соответствии с частью 1.1 (при наличии такого требования) статьи 31 Закона о контрактной системе.</w:t>
      </w:r>
    </w:p>
    <w:p>
      <w:pPr>
        <w:spacing w:lineRule="exact" w:line="400" w:after="0" w:beforeAutospacing="0" w:afterAutospacing="0"/>
        <w:ind w:firstLine="709"/>
        <w:jc w:val="both"/>
        <w:rPr>
          <w:rFonts w:ascii="Times New Roman" w:hAnsi="Times New Roman"/>
          <w:sz w:val="28"/>
        </w:rPr>
      </w:pPr>
      <w:r>
        <w:rPr>
          <w:rFonts w:ascii="Times New Roman" w:hAnsi="Times New Roman"/>
          <w:sz w:val="28"/>
        </w:rPr>
        <w:t>Представители Заказчика, Уполномоченного органа на заседании Комиссии пояснили, что в извещении о проведении Конкурса имеются ссылки на исчерпывающий перечень документов, содержащийся в Конкурсной документации, которые должны быть представлены участниками Конкурса в соответствии с пунктом 1 части 1 стати 31 Закона о контрактной системе.</w:t>
      </w:r>
    </w:p>
    <w:p>
      <w:pPr>
        <w:spacing w:lineRule="exact" w:line="400" w:after="0" w:beforeAutospacing="0" w:afterAutospacing="0"/>
        <w:ind w:firstLine="709"/>
        <w:jc w:val="both"/>
        <w:rPr>
          <w:rFonts w:ascii="Times New Roman" w:hAnsi="Times New Roman"/>
          <w:sz w:val="28"/>
        </w:rPr>
      </w:pPr>
      <w:r>
        <w:rPr>
          <w:rFonts w:ascii="Times New Roman" w:hAnsi="Times New Roman"/>
          <w:sz w:val="28"/>
        </w:rPr>
        <w:t>Кроме того, представитель Заявителя пояснил, что в извещении о проведении Конкурса отсутствует информация о размере и порядке предоставления обеспечения заявки на участие в Конкурсе, а также информация о размере и порядке предоставления обеспечения исполнения контракта.</w:t>
      </w:r>
    </w:p>
    <w:p>
      <w:pPr>
        <w:spacing w:lineRule="exact" w:line="400" w:after="0" w:beforeAutospacing="0" w:afterAutospacing="0"/>
        <w:ind w:firstLine="709"/>
        <w:jc w:val="both"/>
        <w:rPr>
          <w:rFonts w:ascii="Times New Roman" w:hAnsi="Times New Roman"/>
          <w:sz w:val="28"/>
        </w:rPr>
      </w:pPr>
      <w:r>
        <w:rPr>
          <w:rFonts w:ascii="Times New Roman" w:hAnsi="Times New Roman"/>
          <w:sz w:val="28"/>
        </w:rPr>
        <w:t>Представители Заказчика, Уполномоченного органа на заседании Комиссии пояснили, что в извещении о проведении Конкурса в разделе «обеспечение заявки»</w:t>
      </w:r>
      <w:r>
        <w:rPr>
          <w:rFonts w:ascii="Times New Roman" w:hAnsi="Times New Roman"/>
          <w:b w:val="1"/>
          <w:sz w:val="28"/>
        </w:rPr>
        <w:t xml:space="preserve"> </w:t>
      </w:r>
      <w:r>
        <w:rPr>
          <w:rFonts w:ascii="Times New Roman" w:hAnsi="Times New Roman"/>
          <w:sz w:val="28"/>
        </w:rPr>
        <w:t>и</w:t>
      </w:r>
      <w:r>
        <w:rPr>
          <w:rFonts w:ascii="Times New Roman" w:hAnsi="Times New Roman"/>
          <w:b w:val="1"/>
          <w:sz w:val="28"/>
        </w:rPr>
        <w:t xml:space="preserve"> </w:t>
      </w:r>
      <w:r>
        <w:rPr>
          <w:rFonts w:ascii="Times New Roman" w:hAnsi="Times New Roman"/>
          <w:sz w:val="28"/>
        </w:rPr>
        <w:t>разделе «обеспечение исполнения контракта»</w:t>
      </w:r>
      <w:r>
        <w:rPr>
          <w:rFonts w:ascii="Times New Roman" w:hAnsi="Times New Roman"/>
          <w:b w:val="1"/>
          <w:sz w:val="28"/>
        </w:rPr>
        <w:t xml:space="preserve"> </w:t>
      </w:r>
      <w:r>
        <w:rPr>
          <w:rFonts w:ascii="Times New Roman" w:hAnsi="Times New Roman"/>
          <w:sz w:val="28"/>
        </w:rPr>
        <w:t xml:space="preserve">имеются ссылки на разделы Конкурсной документации, в которых содержится информация о размере и порядке предоставления обеспечения заявки на участие в Конкурсе, а также информация о размере и порядке предоставления обеспечения исполнения контракта. </w:t>
      </w:r>
    </w:p>
    <w:p>
      <w:pPr>
        <w:spacing w:lineRule="exact" w:line="400" w:after="0" w:beforeAutospacing="0" w:afterAutospacing="0"/>
        <w:ind w:firstLine="709"/>
        <w:jc w:val="both"/>
        <w:rPr>
          <w:rFonts w:ascii="Times New Roman" w:hAnsi="Times New Roman"/>
          <w:sz w:val="28"/>
        </w:rPr>
      </w:pPr>
      <w:r>
        <w:rPr>
          <w:rFonts w:ascii="Times New Roman" w:hAnsi="Times New Roman"/>
          <w:sz w:val="28"/>
        </w:rPr>
        <w:t>Кроме того, представители Заказчика, Уполномоченного органа на заседании Комиссии пояснили, что извещение о проведении Конкурса не противоречит требованиям Закона о контрактной системе.</w:t>
      </w:r>
    </w:p>
    <w:p>
      <w:pPr>
        <w:spacing w:lineRule="exact" w:line="400" w:after="0" w:beforeAutospacing="0" w:afterAutospacing="0"/>
        <w:ind w:firstLine="709"/>
        <w:jc w:val="both"/>
        <w:rPr>
          <w:rFonts w:ascii="Times New Roman" w:hAnsi="Times New Roman"/>
          <w:sz w:val="28"/>
        </w:rPr>
      </w:pPr>
      <w:r>
        <w:rPr>
          <w:rFonts w:ascii="Times New Roman" w:hAnsi="Times New Roman"/>
          <w:sz w:val="28"/>
        </w:rPr>
        <w:t>При этом представителем Заявителя на заседании Комиссии не представлены документы и сведения, свидетельствующие об обратном, в связи с чем довод Заявителя не нашел своего подтверждения.</w:t>
      </w:r>
    </w:p>
    <w:p>
      <w:pPr>
        <w:spacing w:lineRule="exact" w:line="400" w:after="0" w:beforeAutospacing="0" w:afterAutospacing="0"/>
        <w:ind w:firstLine="709"/>
        <w:jc w:val="both"/>
        <w:rPr>
          <w:rFonts w:ascii="Times New Roman" w:hAnsi="Times New Roman"/>
          <w:sz w:val="28"/>
        </w:rPr>
      </w:pPr>
      <w:r>
        <w:rPr>
          <w:rFonts w:ascii="Times New Roman" w:hAnsi="Times New Roman"/>
          <w:sz w:val="28"/>
        </w:rPr>
        <w:t xml:space="preserve">6. Согласно доводу Заявителя, Заказчиком, Уполномоченным органом в ЕИС не размещена в полном объеме проектная документация, поскольку в ЕИС отсутствуют «Том 2.1 Проект полосы отвода. Книга 1. Административный округ г. Лермонтов», «Том 2.2 Проект полосы отвода. Книга 2. Административный округ г. Железноводск», «Том 2.3 Проект полосы отвода. Книга 3. Административный округ г. Минеральные воды».  </w:t>
      </w:r>
    </w:p>
    <w:p>
      <w:pPr>
        <w:spacing w:lineRule="exact" w:line="400" w:after="0" w:beforeAutospacing="0" w:afterAutospacing="0"/>
        <w:ind w:firstLine="709"/>
        <w:jc w:val="both"/>
        <w:rPr>
          <w:rFonts w:ascii="Times New Roman" w:hAnsi="Times New Roman"/>
          <w:sz w:val="28"/>
        </w:rPr>
      </w:pPr>
      <w:r>
        <w:rPr>
          <w:rFonts w:ascii="Times New Roman" w:hAnsi="Times New Roman"/>
          <w:sz w:val="28"/>
        </w:rPr>
        <w:t>В соответствии с пунктом 1 части 1 статьи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в том числе наименование и описание объекта закупки и условий контракта в соответствии со статьей 33 Закона о контрактной системе, в том числе обоснование начальной (максимальной) цены контракта, начальных цен единиц товара, работы, услуги.</w:t>
      </w:r>
    </w:p>
    <w:p>
      <w:pPr>
        <w:spacing w:lineRule="exact" w:line="400" w:after="0" w:beforeAutospacing="0" w:afterAutospacing="0"/>
        <w:ind w:firstLine="709"/>
        <w:jc w:val="both"/>
        <w:rPr>
          <w:rFonts w:ascii="Times New Roman" w:hAnsi="Times New Roman"/>
          <w:sz w:val="28"/>
        </w:rPr>
      </w:pPr>
      <w:r>
        <w:rPr>
          <w:rFonts w:ascii="Times New Roman" w:hAnsi="Times New Roman"/>
          <w:sz w:val="28"/>
        </w:rPr>
        <w:t>Согласно части 2 статьи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w:t>
      </w:r>
    </w:p>
    <w:p>
      <w:pPr>
        <w:spacing w:lineRule="exact" w:line="400" w:after="0" w:beforeAutospacing="0" w:afterAutospacing="0"/>
        <w:ind w:firstLine="709"/>
        <w:jc w:val="both"/>
        <w:rPr>
          <w:rFonts w:ascii="Times New Roman" w:hAnsi="Times New Roman"/>
          <w:sz w:val="28"/>
        </w:rPr>
      </w:pPr>
      <w:r>
        <w:rPr>
          <w:rFonts w:ascii="Times New Roman" w:hAnsi="Times New Roman"/>
          <w:sz w:val="28"/>
        </w:rPr>
        <w:t>На заседании Комиссии представитель Заявителя пояснил, что Заказчиком, Уполномоченным органом проектная документация размещена не в полном объеме, а именно отсутствуют «Том 2.1 Проект полосы отвода. Книга 1. Административный округ г. Лермонтов», «Том 2.2 Проект полосы отвода. Книга 2. Административный округ г. Железноводск», «Том 2.3 Проект полосы отвода. Книга 3. Административный округ г. Минеральные воды».</w:t>
      </w:r>
    </w:p>
    <w:p>
      <w:pPr>
        <w:spacing w:lineRule="exact" w:line="400" w:after="0" w:beforeAutospacing="0" w:afterAutospacing="0"/>
        <w:ind w:firstLine="709"/>
        <w:jc w:val="both"/>
        <w:rPr>
          <w:rFonts w:ascii="Times New Roman" w:hAnsi="Times New Roman"/>
          <w:sz w:val="28"/>
        </w:rPr>
      </w:pPr>
      <w:r>
        <w:rPr>
          <w:rFonts w:ascii="Times New Roman" w:hAnsi="Times New Roman"/>
          <w:sz w:val="28"/>
        </w:rPr>
        <w:t>Представители Заказчика, Уполномоченного органа, на заседании Комиссии пояснили, что в ЕИС размещена проектная документация в полном объеме, а именно в результате внесения изменений от 10.12.2020 «Том 2.1 Проект полосы отвода. Книга 1. Административный округ г. Лермонтов», «Том 2.2 Проект полосы отвода. Книга 2. Административный округ г. Железноводск», «Том 2.3 Проект полосы отвода. Книга 3. Административный округ г. Минеральные воды» объединены в «Том 2 Проект полосы отвода».</w:t>
      </w:r>
    </w:p>
    <w:p>
      <w:pPr>
        <w:spacing w:lineRule="exact" w:line="400" w:after="0" w:beforeAutospacing="0" w:afterAutospacing="0"/>
        <w:ind w:firstLine="709"/>
        <w:jc w:val="both"/>
        <w:rPr>
          <w:rFonts w:ascii="Times New Roman" w:hAnsi="Times New Roman"/>
          <w:sz w:val="28"/>
        </w:rPr>
      </w:pPr>
      <w:r>
        <w:rPr>
          <w:rFonts w:ascii="Times New Roman" w:hAnsi="Times New Roman"/>
          <w:sz w:val="28"/>
        </w:rPr>
        <w:t xml:space="preserve">Кроме того, проектная сметная документации прошла государственную экспертизу, на основании которой получено положительное заключение                                  АУ Ставропольского края «Государственная экспертиза в сфере строительства» (положительное заключение государственной экспертизы) по объекту «Строительство «Кавминводский велотерренкур».</w:t>
      </w:r>
    </w:p>
    <w:p>
      <w:pPr>
        <w:spacing w:lineRule="exact" w:line="400" w:after="0" w:beforeAutospacing="0" w:afterAutospacing="0"/>
        <w:ind w:firstLine="709"/>
        <w:jc w:val="both"/>
        <w:rPr>
          <w:rFonts w:ascii="Times New Roman" w:hAnsi="Times New Roman"/>
          <w:sz w:val="28"/>
        </w:rPr>
      </w:pPr>
      <w:r>
        <w:rPr>
          <w:rFonts w:ascii="Times New Roman" w:hAnsi="Times New Roman"/>
          <w:sz w:val="28"/>
        </w:rPr>
        <w:t>Вместе с тем, представитель Заявителя на заседании Комиссии не представил документов, подтверждающих обоснованность, в связи с чем довод Заявителя не нашел своего подтверждения.</w:t>
      </w:r>
    </w:p>
    <w:p>
      <w:pPr>
        <w:spacing w:lineRule="exact" w:line="400" w:after="0" w:beforeAutospacing="0" w:afterAutospacing="0"/>
        <w:ind w:firstLine="709"/>
        <w:jc w:val="both"/>
        <w:rPr>
          <w:rFonts w:ascii="Times New Roman" w:hAnsi="Times New Roman"/>
          <w:sz w:val="28"/>
        </w:rPr>
      </w:pPr>
      <w:r>
        <w:rPr>
          <w:rFonts w:ascii="Times New Roman" w:hAnsi="Times New Roman"/>
          <w:sz w:val="28"/>
        </w:rPr>
        <w:t>7. Согласно доводу Заявителя Конкурсная документация не содержит условие о возможности использования эквивалентного товара при выполнении работ.</w:t>
      </w:r>
    </w:p>
    <w:p>
      <w:pPr>
        <w:spacing w:lineRule="exact" w:line="400" w:after="0" w:beforeAutospacing="0" w:afterAutospacing="0"/>
        <w:ind w:firstLine="709"/>
        <w:jc w:val="both"/>
        <w:rPr>
          <w:rFonts w:ascii="Times New Roman" w:hAnsi="Times New Roman"/>
          <w:sz w:val="28"/>
          <w:lang w:bidi="hi-IN"/>
        </w:rPr>
      </w:pPr>
      <w:r>
        <w:rPr>
          <w:rFonts w:ascii="Times New Roman" w:hAnsi="Times New Roman"/>
          <w:sz w:val="28"/>
          <w:lang w:bidi="hi-IN"/>
        </w:rPr>
        <w:t xml:space="preserve">В соответствии с пунктом 1 части 1 статьи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spacing w:lineRule="exact" w:line="400" w:after="0" w:beforeAutospacing="0" w:afterAutospacing="0"/>
        <w:ind w:firstLine="709"/>
        <w:jc w:val="both"/>
        <w:rPr>
          <w:rFonts w:ascii="Times New Roman" w:hAnsi="Times New Roman"/>
          <w:sz w:val="28"/>
          <w:lang w:bidi="hi-IN"/>
        </w:rPr>
      </w:pPr>
      <w:r>
        <w:rPr>
          <w:rFonts w:ascii="Times New Roman" w:hAnsi="Times New Roman"/>
          <w:sz w:val="28"/>
          <w:lang w:bidi="hi-IN"/>
        </w:rPr>
        <w:t xml:space="preserve">Согласно статье 48 Градостроительного кодекса Российской Федерации    (далее - ГрК РФ) проектная документация представляет собой документацию</w:t>
      </w:r>
      <w:r>
        <w:rPr>
          <w:rFonts w:ascii="Times New Roman" w:hAnsi="Times New Roman"/>
          <w:sz w:val="28"/>
        </w:rPr>
        <w:t xml:space="preserve">, </w:t>
      </w:r>
      <w:r>
        <w:rPr>
          <w:rFonts w:ascii="Times New Roman" w:hAnsi="Times New Roman"/>
          <w:sz w:val="28"/>
          <w:lang w:bidi="hi-IN"/>
        </w:rPr>
        <w:t>содержащую материалы в текстовой форме и в виде карт (схем) и определяющую архитектурные</w:t>
      </w:r>
      <w:r>
        <w:rPr>
          <w:rFonts w:ascii="Times New Roman" w:hAnsi="Times New Roman"/>
          <w:sz w:val="28"/>
        </w:rPr>
        <w:t xml:space="preserve">, </w:t>
      </w:r>
      <w:r>
        <w:rPr>
          <w:rFonts w:ascii="Times New Roman" w:hAnsi="Times New Roman"/>
          <w:sz w:val="28"/>
          <w:lang w:bidi="hi-IN"/>
        </w:rPr>
        <w:t>функционально-технологические</w:t>
      </w:r>
      <w:r>
        <w:rPr>
          <w:rFonts w:ascii="Times New Roman" w:hAnsi="Times New Roman"/>
          <w:sz w:val="28"/>
        </w:rPr>
        <w:t xml:space="preserve">, </w:t>
      </w:r>
      <w:r>
        <w:rPr>
          <w:rFonts w:ascii="Times New Roman" w:hAnsi="Times New Roman"/>
          <w:sz w:val="28"/>
          <w:lang w:bidi="hi-IN"/>
        </w:rPr>
        <w:t xml:space="preserve">конструктивные и               инженерно-технические решения для обеспечения строительства</w:t>
      </w:r>
      <w:r>
        <w:rPr>
          <w:rFonts w:ascii="Times New Roman" w:hAnsi="Times New Roman"/>
          <w:sz w:val="28"/>
        </w:rPr>
        <w:t xml:space="preserve">, </w:t>
      </w:r>
      <w:r>
        <w:rPr>
          <w:rFonts w:ascii="Times New Roman" w:hAnsi="Times New Roman"/>
          <w:sz w:val="28"/>
          <w:lang w:bidi="hi-IN"/>
        </w:rPr>
        <w:t>реконструкции объектов капитального строительства</w:t>
      </w:r>
      <w:r>
        <w:rPr>
          <w:rFonts w:ascii="Times New Roman" w:hAnsi="Times New Roman"/>
          <w:sz w:val="28"/>
        </w:rPr>
        <w:t xml:space="preserve">, </w:t>
      </w:r>
      <w:r>
        <w:rPr>
          <w:rFonts w:ascii="Times New Roman" w:hAnsi="Times New Roman"/>
          <w:sz w:val="28"/>
          <w:lang w:bidi="hi-IN"/>
        </w:rPr>
        <w:t>их частей</w:t>
      </w:r>
      <w:r>
        <w:rPr>
          <w:rFonts w:ascii="Times New Roman" w:hAnsi="Times New Roman"/>
          <w:sz w:val="28"/>
        </w:rPr>
        <w:t xml:space="preserve">, </w:t>
      </w:r>
      <w:r>
        <w:rPr>
          <w:rFonts w:ascii="Times New Roman" w:hAnsi="Times New Roman"/>
          <w:sz w:val="28"/>
          <w:lang w:bidi="hi-IN"/>
        </w:rPr>
        <w:t>капитального ремонта.</w:t>
      </w:r>
    </w:p>
    <w:p>
      <w:pPr>
        <w:spacing w:lineRule="exact" w:line="400" w:after="0" w:beforeAutospacing="0" w:afterAutospacing="0"/>
        <w:ind w:firstLine="709"/>
        <w:jc w:val="both"/>
        <w:rPr>
          <w:rFonts w:ascii="Times New Roman" w:hAnsi="Times New Roman"/>
          <w:sz w:val="28"/>
          <w:lang w:bidi="hi-IN"/>
        </w:rPr>
      </w:pPr>
      <w:r>
        <w:rPr>
          <w:rFonts w:ascii="Times New Roman" w:hAnsi="Times New Roman"/>
          <w:sz w:val="28"/>
          <w:lang w:bidi="hi-IN"/>
        </w:rPr>
        <w:t>Таким образом</w:t>
      </w:r>
      <w:r>
        <w:rPr>
          <w:rFonts w:ascii="Times New Roman" w:hAnsi="Times New Roman"/>
          <w:sz w:val="28"/>
        </w:rPr>
        <w:t xml:space="preserve">, </w:t>
      </w:r>
      <w:r>
        <w:rPr>
          <w:rFonts w:ascii="Times New Roman" w:hAnsi="Times New Roman"/>
          <w:sz w:val="28"/>
          <w:lang w:bidi="hi-IN"/>
        </w:rPr>
        <w:t>строительство</w:t>
      </w:r>
      <w:r>
        <w:rPr>
          <w:rFonts w:ascii="Times New Roman" w:hAnsi="Times New Roman"/>
          <w:sz w:val="28"/>
        </w:rPr>
        <w:t xml:space="preserve">, </w:t>
      </w:r>
      <w:r>
        <w:rPr>
          <w:rFonts w:ascii="Times New Roman" w:hAnsi="Times New Roman"/>
          <w:sz w:val="28"/>
          <w:lang w:bidi="hi-IN"/>
        </w:rPr>
        <w:t>реконструкция</w:t>
      </w:r>
      <w:r>
        <w:rPr>
          <w:rFonts w:ascii="Times New Roman" w:hAnsi="Times New Roman"/>
          <w:sz w:val="28"/>
        </w:rPr>
        <w:t xml:space="preserve">, </w:t>
      </w:r>
      <w:r>
        <w:rPr>
          <w:rFonts w:ascii="Times New Roman" w:hAnsi="Times New Roman"/>
          <w:sz w:val="28"/>
          <w:lang w:bidi="hi-IN"/>
        </w:rPr>
        <w:t>капитальный ремонт объекта капитального строительства осуществляется на основании проектной документации</w:t>
      </w:r>
      <w:r>
        <w:rPr>
          <w:rFonts w:ascii="Times New Roman" w:hAnsi="Times New Roman"/>
          <w:sz w:val="28"/>
        </w:rPr>
        <w:t xml:space="preserve">, </w:t>
      </w:r>
      <w:r>
        <w:rPr>
          <w:rFonts w:ascii="Times New Roman" w:hAnsi="Times New Roman"/>
          <w:sz w:val="28"/>
          <w:lang w:bidi="hi-IN"/>
        </w:rPr>
        <w:t>которая содержит показатели</w:t>
      </w:r>
      <w:r>
        <w:rPr>
          <w:rFonts w:ascii="Times New Roman" w:hAnsi="Times New Roman"/>
          <w:sz w:val="28"/>
        </w:rPr>
        <w:t xml:space="preserve">, </w:t>
      </w:r>
      <w:r>
        <w:rPr>
          <w:rFonts w:ascii="Times New Roman" w:hAnsi="Times New Roman"/>
          <w:sz w:val="28"/>
          <w:lang w:bidi="hi-IN"/>
        </w:rPr>
        <w:t>связанные с определением соответствия выполняемых работ</w:t>
      </w:r>
      <w:r>
        <w:rPr>
          <w:rFonts w:ascii="Times New Roman" w:hAnsi="Times New Roman"/>
          <w:sz w:val="28"/>
        </w:rPr>
        <w:t xml:space="preserve">, </w:t>
      </w:r>
      <w:r>
        <w:rPr>
          <w:rFonts w:ascii="Times New Roman" w:hAnsi="Times New Roman"/>
          <w:sz w:val="28"/>
          <w:lang w:bidi="hi-IN"/>
        </w:rPr>
        <w:t>оказываемых услуг потребностям заказчика.</w:t>
      </w:r>
    </w:p>
    <w:p>
      <w:pPr>
        <w:spacing w:lineRule="exact" w:line="400" w:after="0" w:beforeAutospacing="0" w:afterAutospacing="0"/>
        <w:ind w:firstLine="709"/>
        <w:jc w:val="both"/>
        <w:rPr>
          <w:rFonts w:ascii="Times New Roman" w:hAnsi="Times New Roman"/>
          <w:sz w:val="28"/>
          <w:lang w:bidi="hi-IN"/>
        </w:rPr>
      </w:pPr>
      <w:r>
        <w:rPr>
          <w:rFonts w:ascii="Times New Roman" w:hAnsi="Times New Roman"/>
          <w:sz w:val="28"/>
          <w:lang w:bidi="hi-IN"/>
        </w:rPr>
        <w:t>С учетом изложенного</w:t>
      </w:r>
      <w:r>
        <w:rPr>
          <w:rFonts w:ascii="Times New Roman" w:hAnsi="Times New Roman"/>
          <w:sz w:val="28"/>
        </w:rPr>
        <w:t xml:space="preserve">, </w:t>
      </w:r>
      <w:r>
        <w:rPr>
          <w:rFonts w:ascii="Times New Roman" w:hAnsi="Times New Roman"/>
          <w:sz w:val="28"/>
          <w:lang w:bidi="hi-IN"/>
        </w:rPr>
        <w:t>в случае</w:t>
      </w:r>
      <w:r>
        <w:rPr>
          <w:rFonts w:ascii="Times New Roman" w:hAnsi="Times New Roman"/>
          <w:sz w:val="28"/>
        </w:rPr>
        <w:t xml:space="preserve">, </w:t>
      </w:r>
      <w:r>
        <w:rPr>
          <w:rFonts w:ascii="Times New Roman" w:hAnsi="Times New Roman"/>
          <w:sz w:val="28"/>
          <w:lang w:bidi="hi-IN"/>
        </w:rPr>
        <w:t>если проектная документация содержит указание на товарный знак</w:t>
      </w:r>
      <w:r>
        <w:rPr>
          <w:rFonts w:ascii="Times New Roman" w:hAnsi="Times New Roman"/>
          <w:sz w:val="28"/>
        </w:rPr>
        <w:t xml:space="preserve">, </w:t>
      </w:r>
      <w:r>
        <w:rPr>
          <w:rFonts w:ascii="Times New Roman" w:hAnsi="Times New Roman"/>
          <w:sz w:val="28"/>
          <w:lang w:bidi="hi-IN"/>
        </w:rPr>
        <w:t>знак обслуживания</w:t>
      </w:r>
      <w:r>
        <w:rPr>
          <w:rFonts w:ascii="Times New Roman" w:hAnsi="Times New Roman"/>
          <w:sz w:val="28"/>
        </w:rPr>
        <w:t xml:space="preserve">, </w:t>
      </w:r>
      <w:r>
        <w:rPr>
          <w:rFonts w:ascii="Times New Roman" w:hAnsi="Times New Roman"/>
          <w:sz w:val="28"/>
          <w:lang w:bidi="hi-IN"/>
        </w:rPr>
        <w:t>фирменное наименование</w:t>
      </w:r>
      <w:r>
        <w:rPr>
          <w:rFonts w:ascii="Times New Roman" w:hAnsi="Times New Roman"/>
          <w:sz w:val="28"/>
        </w:rPr>
        <w:t xml:space="preserve">, </w:t>
      </w:r>
      <w:r>
        <w:rPr>
          <w:rFonts w:ascii="Times New Roman" w:hAnsi="Times New Roman"/>
          <w:sz w:val="28"/>
          <w:lang w:bidi="hi-IN"/>
        </w:rPr>
        <w:t>патент</w:t>
      </w:r>
      <w:r>
        <w:rPr>
          <w:rFonts w:ascii="Times New Roman" w:hAnsi="Times New Roman"/>
          <w:sz w:val="28"/>
        </w:rPr>
        <w:t xml:space="preserve">, </w:t>
      </w:r>
      <w:r>
        <w:rPr>
          <w:rFonts w:ascii="Times New Roman" w:hAnsi="Times New Roman"/>
          <w:sz w:val="28"/>
          <w:lang w:bidi="hi-IN"/>
        </w:rPr>
        <w:t>полезную модель</w:t>
      </w:r>
      <w:r>
        <w:rPr>
          <w:rFonts w:ascii="Times New Roman" w:hAnsi="Times New Roman"/>
          <w:sz w:val="28"/>
        </w:rPr>
        <w:t xml:space="preserve">, </w:t>
      </w:r>
      <w:r>
        <w:rPr>
          <w:rFonts w:ascii="Times New Roman" w:hAnsi="Times New Roman"/>
          <w:sz w:val="28"/>
          <w:lang w:bidi="hi-IN"/>
        </w:rPr>
        <w:t>промышленный образец</w:t>
      </w:r>
      <w:r>
        <w:rPr>
          <w:rFonts w:ascii="Times New Roman" w:hAnsi="Times New Roman"/>
          <w:sz w:val="28"/>
        </w:rPr>
        <w:t xml:space="preserve">, </w:t>
      </w:r>
      <w:r>
        <w:rPr>
          <w:rFonts w:ascii="Times New Roman" w:hAnsi="Times New Roman"/>
          <w:sz w:val="28"/>
          <w:lang w:bidi="hi-IN"/>
        </w:rPr>
        <w:t>наименование места происхождения товара или наименование производителя</w:t>
      </w:r>
      <w:r>
        <w:rPr>
          <w:rFonts w:ascii="Times New Roman" w:hAnsi="Times New Roman"/>
          <w:sz w:val="28"/>
        </w:rPr>
        <w:t xml:space="preserve">, </w:t>
      </w:r>
      <w:r>
        <w:rPr>
          <w:rFonts w:ascii="Times New Roman" w:hAnsi="Times New Roman"/>
          <w:sz w:val="28"/>
          <w:lang w:bidi="hi-IN"/>
        </w:rPr>
        <w:t>в документации о закупке с целью соблюдения положений Закона о контрактной системе необходимо установить условие о возможности использования эквивалентного товара.</w:t>
      </w:r>
    </w:p>
    <w:p>
      <w:pPr>
        <w:spacing w:lineRule="exact" w:line="400" w:after="0" w:beforeAutospacing="0" w:afterAutospacing="0"/>
        <w:ind w:firstLine="709"/>
        <w:jc w:val="both"/>
        <w:rPr>
          <w:rFonts w:ascii="Times New Roman" w:hAnsi="Times New Roman"/>
          <w:sz w:val="28"/>
        </w:rPr>
      </w:pPr>
      <w:r>
        <w:rPr>
          <w:rFonts w:ascii="Times New Roman" w:hAnsi="Times New Roman"/>
          <w:sz w:val="28"/>
          <w:lang w:bidi="hi-IN"/>
        </w:rPr>
        <w:t>На заседании Комиссии установлено</w:t>
      </w:r>
      <w:r>
        <w:rPr>
          <w:rFonts w:ascii="Times New Roman" w:hAnsi="Times New Roman"/>
          <w:sz w:val="28"/>
        </w:rPr>
        <w:t xml:space="preserve">, </w:t>
      </w:r>
      <w:r>
        <w:rPr>
          <w:rFonts w:ascii="Times New Roman" w:hAnsi="Times New Roman"/>
          <w:sz w:val="28"/>
          <w:lang w:bidi="hi-IN"/>
        </w:rPr>
        <w:t xml:space="preserve">что согласно </w:t>
      </w:r>
      <w:r>
        <w:rPr>
          <w:rFonts w:ascii="Times New Roman" w:hAnsi="Times New Roman"/>
          <w:sz w:val="28"/>
        </w:rPr>
        <w:t xml:space="preserve">разделу 3 «Технологические и конструктивные решения линейного объекта. Искусственные сооружения» подраздел 4 «Видовые площадки» книга 2 «Административный округ г. Железноводск», </w:t>
      </w:r>
      <w:r>
        <w:rPr>
          <w:rFonts w:ascii="Times New Roman" w:hAnsi="Times New Roman"/>
          <w:sz w:val="28"/>
          <w:lang w:bidi="hi-IN"/>
        </w:rPr>
        <w:t>размещенному в ЕИС</w:t>
      </w:r>
      <w:r>
        <w:rPr>
          <w:rFonts w:ascii="Times New Roman" w:hAnsi="Times New Roman"/>
          <w:sz w:val="28"/>
        </w:rPr>
        <w:t xml:space="preserve">, </w:t>
      </w:r>
      <w:r>
        <w:rPr>
          <w:rFonts w:ascii="Times New Roman" w:hAnsi="Times New Roman"/>
          <w:sz w:val="28"/>
          <w:lang w:bidi="hi-IN"/>
        </w:rPr>
        <w:t>в рамках исполнения контракта необходимо</w:t>
      </w:r>
      <w:r>
        <w:rPr>
          <w:rFonts w:ascii="Times New Roman" w:hAnsi="Times New Roman"/>
          <w:sz w:val="28"/>
        </w:rPr>
        <w:t xml:space="preserve">, </w:t>
      </w:r>
      <w:r>
        <w:rPr>
          <w:rFonts w:ascii="Times New Roman" w:hAnsi="Times New Roman"/>
          <w:sz w:val="28"/>
          <w:lang w:bidi="hi-IN"/>
        </w:rPr>
        <w:t>в том числе установить систему пожарной сигнализации. При этом</w:t>
      </w:r>
      <w:r>
        <w:rPr>
          <w:rFonts w:ascii="Times New Roman" w:hAnsi="Times New Roman"/>
          <w:sz w:val="28"/>
        </w:rPr>
        <w:t xml:space="preserve"> </w:t>
      </w:r>
      <w:r>
        <w:rPr>
          <w:rFonts w:ascii="Times New Roman" w:hAnsi="Times New Roman"/>
          <w:sz w:val="28"/>
          <w:lang w:bidi="hi-IN"/>
        </w:rPr>
        <w:t>установлено следующее: «</w:t>
      </w:r>
      <w:r>
        <w:rPr>
          <w:rFonts w:ascii="Times New Roman" w:hAnsi="Times New Roman"/>
          <w:sz w:val="28"/>
        </w:rPr>
        <w:t xml:space="preserve">Система пожарной сигнализации строится на базе приборов интегрированной системы безопасности «Орион» производства                       НВП «Болид».</w:t>
      </w:r>
    </w:p>
    <w:p>
      <w:pPr>
        <w:spacing w:lineRule="exact" w:line="400" w:after="0" w:beforeAutospacing="0" w:afterAutospacing="0"/>
        <w:ind w:firstLine="709"/>
        <w:jc w:val="both"/>
        <w:rPr>
          <w:rFonts w:ascii="Times New Roman" w:hAnsi="Times New Roman"/>
          <w:sz w:val="28"/>
          <w:lang w:bidi="hi-IN"/>
        </w:rPr>
      </w:pPr>
      <w:r>
        <w:rPr>
          <w:rFonts w:ascii="Times New Roman" w:hAnsi="Times New Roman"/>
          <w:sz w:val="28"/>
          <w:lang w:bidi="hi-IN"/>
        </w:rPr>
        <w:t>Вместе с тем</w:t>
      </w:r>
      <w:r>
        <w:rPr>
          <w:rFonts w:ascii="Times New Roman" w:hAnsi="Times New Roman"/>
          <w:sz w:val="28"/>
        </w:rPr>
        <w:t xml:space="preserve"> </w:t>
      </w:r>
      <w:r>
        <w:rPr>
          <w:rFonts w:ascii="Times New Roman" w:hAnsi="Times New Roman"/>
          <w:sz w:val="28"/>
          <w:lang w:bidi="hi-IN"/>
        </w:rPr>
        <w:t>на заседании Комиссии установлено</w:t>
      </w:r>
      <w:r>
        <w:rPr>
          <w:rFonts w:ascii="Times New Roman" w:hAnsi="Times New Roman"/>
          <w:sz w:val="28"/>
        </w:rPr>
        <w:t xml:space="preserve">, </w:t>
      </w:r>
      <w:r>
        <w:rPr>
          <w:rFonts w:ascii="Times New Roman" w:hAnsi="Times New Roman"/>
          <w:sz w:val="28"/>
          <w:lang w:bidi="hi-IN"/>
        </w:rPr>
        <w:t xml:space="preserve">что Конкурсная документация не содержит условие о возможности использования эквивалентного товара при выполнении работ. </w:t>
      </w:r>
    </w:p>
    <w:p>
      <w:pPr>
        <w:spacing w:lineRule="exact" w:line="380" w:after="0" w:beforeAutospacing="0" w:afterAutospacing="0"/>
        <w:ind w:firstLine="709"/>
        <w:jc w:val="both"/>
        <w:rPr>
          <w:rFonts w:ascii="Times New Roman" w:hAnsi="Times New Roman"/>
          <w:sz w:val="28"/>
        </w:rPr>
      </w:pPr>
      <w:r>
        <w:rPr>
          <w:rFonts w:ascii="Times New Roman" w:hAnsi="Times New Roman"/>
          <w:sz w:val="28"/>
        </w:rPr>
        <w:t>Учитывая изложенное, вышеуказанные действия Заказчика, Уполномоченного органа нарушают пункт 1 части 1 статьи 54.3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pPr>
        <w:tabs>
          <w:tab w:val="left" w:pos="9639" w:leader="none"/>
        </w:tabs>
        <w:spacing w:lineRule="exact" w:line="380" w:after="0" w:beforeAutospacing="0" w:afterAutospacing="0"/>
        <w:ind w:firstLine="567"/>
        <w:jc w:val="both"/>
        <w:rPr>
          <w:rFonts w:ascii="Times New Roman" w:hAnsi="Times New Roman"/>
          <w:sz w:val="28"/>
        </w:rPr>
      </w:pPr>
      <w:r>
        <w:rPr>
          <w:rFonts w:ascii="Times New Roman" w:hAnsi="Times New Roman"/>
          <w:sz w:val="28"/>
        </w:rPr>
        <w:t>Вместе с тем, Комиссия приходит к выводу, что указанное нарушение Закона о контрактной системе не повлияло на результат определения поставщика (подрядчика, исполнителя), поскольку согласно пояснениям Заказчика, Уполномоченного органа на участие в Конкурсе подано 5 заявок от участников закупки, выразивших согласие на выполнение работ на условиях Конкурсной документации.</w:t>
      </w:r>
    </w:p>
    <w:p>
      <w:pPr>
        <w:tabs>
          <w:tab w:val="left" w:pos="9639" w:leader="none"/>
        </w:tabs>
        <w:spacing w:lineRule="exact" w:line="380" w:after="0" w:beforeAutospacing="0" w:afterAutospacing="0"/>
        <w:ind w:firstLine="567"/>
        <w:jc w:val="both"/>
        <w:rPr>
          <w:rFonts w:ascii="Times New Roman" w:hAnsi="Times New Roman"/>
          <w:sz w:val="28"/>
        </w:rPr>
      </w:pPr>
      <w:r>
        <w:rPr>
          <w:rFonts w:ascii="Times New Roman" w:hAnsi="Times New Roman"/>
          <w:sz w:val="28"/>
        </w:rPr>
        <w:t>Кроме того, при проведении внеплановой проверки Комиссией установлено следующее.</w:t>
      </w:r>
    </w:p>
    <w:p>
      <w:pPr>
        <w:tabs>
          <w:tab w:val="left" w:pos="9639" w:leader="none"/>
        </w:tabs>
        <w:spacing w:lineRule="exact" w:line="380" w:after="0" w:beforeAutospacing="0" w:afterAutospacing="0"/>
        <w:ind w:firstLine="567"/>
        <w:jc w:val="both"/>
        <w:rPr>
          <w:rFonts w:ascii="Times New Roman" w:hAnsi="Times New Roman"/>
          <w:sz w:val="28"/>
        </w:rPr>
      </w:pPr>
      <w:r>
        <w:rPr>
          <w:rFonts w:ascii="Times New Roman" w:hAnsi="Times New Roman"/>
          <w:sz w:val="28"/>
        </w:rPr>
        <w:t>8. Согласно пункту 4 части 1 статьи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предусмотренные статьей 54.4 Закона о контрактной системе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pPr>
        <w:spacing w:lineRule="exact" w:line="380" w:after="0" w:beforeAutospacing="0" w:afterAutospacing="0"/>
        <w:ind w:firstLine="709"/>
        <w:jc w:val="both"/>
        <w:rPr>
          <w:rFonts w:ascii="Times New Roman" w:hAnsi="Times New Roman"/>
          <w:sz w:val="28"/>
        </w:rPr>
      </w:pPr>
      <w:r>
        <w:rPr>
          <w:rFonts w:ascii="Times New Roman" w:hAnsi="Times New Roman"/>
          <w:sz w:val="28"/>
        </w:rPr>
        <w:t>Частью 1 статьи 55.8 ГрК РФ 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если иное не установлено ГрК РФ.</w:t>
      </w:r>
    </w:p>
    <w:p>
      <w:pPr>
        <w:spacing w:lineRule="exact" w:line="380" w:after="0" w:beforeAutospacing="0" w:afterAutospacing="0"/>
        <w:ind w:firstLine="709"/>
        <w:jc w:val="both"/>
        <w:rPr>
          <w:rFonts w:ascii="Times New Roman" w:hAnsi="Times New Roman"/>
          <w:sz w:val="28"/>
        </w:rPr>
      </w:pPr>
      <w:r>
        <w:rPr>
          <w:rFonts w:ascii="Times New Roman" w:hAnsi="Times New Roman"/>
          <w:sz w:val="28"/>
        </w:rPr>
        <w:t>Пунктом 3.2.1 Конкурсной документации установлены единые требования к участникам закупки, в том числе: «Участник открытого конкурса в электронной форме должен быть членом саморегулируемой организации в области строительства, реконструкции, капитального ремонта объектов капитального строительства;</w:t>
      </w:r>
    </w:p>
    <w:p>
      <w:pPr>
        <w:spacing w:lineRule="exact" w:line="380" w:after="0" w:beforeAutospacing="0" w:afterAutospacing="0"/>
        <w:ind w:firstLine="709"/>
        <w:jc w:val="both"/>
        <w:rPr>
          <w:rFonts w:ascii="Times New Roman" w:hAnsi="Times New Roman"/>
          <w:sz w:val="28"/>
        </w:rPr>
      </w:pPr>
      <w:r>
        <w:rPr>
          <w:rFonts w:ascii="Times New Roman" w:hAnsi="Times New Roman"/>
          <w:sz w:val="28"/>
        </w:rPr>
        <w:t>Участник должен иметь право выполнять строительство, реконструкцию, капитальный ремонт объектов капитального строительства по договору строительного подряда, заключаемым с использованием конкурентных способов заключения договоров:</w:t>
      </w:r>
    </w:p>
    <w:p>
      <w:pPr>
        <w:spacing w:lineRule="exact" w:line="380" w:after="0" w:beforeAutospacing="0" w:afterAutospacing="0"/>
        <w:ind w:firstLine="709"/>
        <w:jc w:val="both"/>
        <w:rPr>
          <w:rFonts w:ascii="Times New Roman" w:hAnsi="Times New Roman"/>
          <w:sz w:val="28"/>
        </w:rPr>
      </w:pPr>
      <w:r>
        <w:rPr>
          <w:rFonts w:ascii="Times New Roman" w:hAnsi="Times New Roman"/>
          <w:sz w:val="28"/>
        </w:rPr>
        <w:t>- в отношении объектов капитального строительства (кроме особо опасных, технически сложных и уникальных объектов, объектов использования атомной энергии).</w:t>
      </w:r>
    </w:p>
    <w:p>
      <w:pPr>
        <w:spacing w:lineRule="exact" w:line="380" w:after="0" w:beforeAutospacing="0" w:afterAutospacing="0"/>
        <w:ind w:firstLine="709"/>
        <w:jc w:val="both"/>
        <w:rPr>
          <w:rFonts w:ascii="Times New Roman" w:hAnsi="Times New Roman"/>
          <w:sz w:val="28"/>
        </w:rPr>
      </w:pPr>
      <w:r>
        <w:rPr>
          <w:rFonts w:ascii="Times New Roman" w:hAnsi="Times New Roman"/>
          <w:sz w:val="28"/>
        </w:rPr>
        <w:t>Саморегулируемая организация, в которой состоит участник, должна иметь компенсационный фонд обеспечения договорных обязательств;</w:t>
      </w:r>
    </w:p>
    <w:p>
      <w:pPr>
        <w:spacing w:lineRule="exact" w:line="380" w:after="0" w:beforeAutospacing="0" w:afterAutospacing="0"/>
        <w:ind w:firstLine="709"/>
        <w:jc w:val="both"/>
        <w:rPr>
          <w:rFonts w:ascii="Times New Roman" w:hAnsi="Times New Roman"/>
          <w:sz w:val="28"/>
        </w:rPr>
      </w:pPr>
      <w:r>
        <w:rPr>
          <w:rFonts w:ascii="Times New Roman" w:hAnsi="Times New Roman"/>
          <w:sz w:val="28"/>
        </w:rPr>
        <w:t>Совокупный размер обязательств участника открытого конкурса в электронной форме по договорам, которые заключены с использованием конкурентных способов, не должен превышать уровень ответственности участника по компенсационному фонду обеспечения договорных обязательств;</w:t>
      </w:r>
    </w:p>
    <w:p>
      <w:pPr>
        <w:spacing w:lineRule="exact" w:line="380" w:after="0" w:beforeAutospacing="0" w:afterAutospacing="0"/>
        <w:ind w:firstLine="709"/>
        <w:jc w:val="both"/>
        <w:rPr>
          <w:rFonts w:ascii="Times New Roman" w:hAnsi="Times New Roman"/>
          <w:sz w:val="28"/>
        </w:rPr>
      </w:pPr>
      <w:r>
        <w:rPr>
          <w:rFonts w:ascii="Times New Roman" w:hAnsi="Times New Roman"/>
          <w:sz w:val="28"/>
        </w:rPr>
        <w:t>Требования не распространяются:</w:t>
      </w:r>
    </w:p>
    <w:p>
      <w:pPr>
        <w:spacing w:lineRule="exact" w:line="380" w:after="0" w:beforeAutospacing="0" w:afterAutospacing="0"/>
        <w:ind w:firstLine="709"/>
        <w:jc w:val="both"/>
        <w:rPr>
          <w:rFonts w:ascii="Times New Roman" w:hAnsi="Times New Roman"/>
          <w:sz w:val="28"/>
        </w:rPr>
      </w:pPr>
      <w:r>
        <w:rPr>
          <w:rFonts w:ascii="Times New Roman" w:hAnsi="Times New Roman"/>
          <w:sz w:val="28"/>
        </w:rPr>
        <w:t>- на участников, которые предложат цену контракта 3 млн. рублей и менее;</w:t>
      </w:r>
    </w:p>
    <w:p>
      <w:pPr>
        <w:spacing w:lineRule="exact" w:line="380" w:after="0" w:beforeAutospacing="0" w:afterAutospacing="0"/>
        <w:ind w:firstLine="709"/>
        <w:jc w:val="both"/>
        <w:rPr>
          <w:rFonts w:ascii="Times New Roman" w:hAnsi="Times New Roman"/>
          <w:sz w:val="28"/>
        </w:rPr>
      </w:pPr>
      <w:r>
        <w:rPr>
          <w:rFonts w:ascii="Times New Roman" w:hAnsi="Times New Roman"/>
          <w:sz w:val="28"/>
        </w:rPr>
        <w:t>- на унитарные предприятия, государственные и муниципальные учреждения, юридические лица с государственным участием в случаях, которые перечислены в части 2.2 статьи 52 Градостроительного Кодекса Российской Федерации».</w:t>
      </w:r>
    </w:p>
    <w:p>
      <w:pPr>
        <w:spacing w:lineRule="exact" w:line="380" w:after="0" w:beforeAutospacing="0" w:afterAutospacing="0"/>
        <w:ind w:firstLine="709"/>
        <w:jc w:val="both"/>
        <w:rPr>
          <w:rFonts w:ascii="Times New Roman" w:hAnsi="Times New Roman"/>
          <w:sz w:val="28"/>
        </w:rPr>
      </w:pPr>
      <w:r>
        <w:rPr>
          <w:rFonts w:ascii="Times New Roman" w:hAnsi="Times New Roman"/>
          <w:sz w:val="28"/>
        </w:rPr>
        <w:t>Вместе с тем, в соответствии с положениями ГрК РФ минимальный размер взноса в компенсационный фонд возмещения вреда должен быть сформирован в соответствии с требованиями части 12 статьи 55.16 ГрК РФ, минимальный размер взноса участника закупки в компенсационный фонд обеспечения договорных обязательств должен быть сформирован в соответствии с требованиями части 11 или 13 статьи 55.16 ГрК РФ.</w:t>
      </w:r>
    </w:p>
    <w:p>
      <w:pPr>
        <w:spacing w:lineRule="exact" w:line="380" w:after="0" w:beforeAutospacing="0" w:afterAutospacing="0"/>
        <w:ind w:firstLine="709"/>
        <w:jc w:val="both"/>
        <w:rPr>
          <w:rFonts w:ascii="Times New Roman" w:hAnsi="Times New Roman"/>
          <w:sz w:val="28"/>
        </w:rPr>
      </w:pPr>
      <w:r>
        <w:rPr>
          <w:rFonts w:ascii="Times New Roman" w:hAnsi="Times New Roman"/>
          <w:sz w:val="28"/>
        </w:rPr>
        <w:t xml:space="preserve">При этом на заседании Комиссии установлено, что Заказчиком, Уполномоченным органом в Конкурсной документации не установлен фонд возмещения вреда в соответствии с требованиями части 12 статьи 55.16 ГрК РФ. </w:t>
      </w:r>
    </w:p>
    <w:p>
      <w:pPr>
        <w:spacing w:lineRule="exact" w:line="380" w:after="0" w:beforeAutospacing="0" w:afterAutospacing="0"/>
        <w:ind w:firstLine="709"/>
        <w:jc w:val="both"/>
        <w:rPr>
          <w:rFonts w:ascii="Times New Roman" w:hAnsi="Times New Roman"/>
          <w:sz w:val="28"/>
        </w:rPr>
      </w:pPr>
      <w:r>
        <w:rPr>
          <w:rFonts w:ascii="Times New Roman" w:hAnsi="Times New Roman"/>
          <w:sz w:val="28"/>
        </w:rPr>
        <w:t xml:space="preserve">Учитывая изложенное, вышеуказанные действия Заказчика, Уполномоченного органа нарушают </w:t>
      </w:r>
      <w:r>
        <w:rPr>
          <w:rFonts w:ascii="Times New Roman" w:hAnsi="Times New Roman"/>
          <w:color w:val="000000"/>
          <w:sz w:val="28"/>
        </w:rPr>
        <w:t xml:space="preserve">пункт 1 части 1 статьи 31 </w:t>
      </w:r>
      <w:r>
        <w:rPr>
          <w:rFonts w:ascii="Times New Roman" w:hAnsi="Times New Roman"/>
          <w:sz w:val="28"/>
        </w:rPr>
        <w:t>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pPr>
        <w:spacing w:lineRule="exact" w:line="380" w:after="0" w:beforeAutospacing="0" w:afterAutospacing="0"/>
        <w:ind w:firstLine="709"/>
        <w:contextualSpacing w:val="1"/>
        <w:jc w:val="both"/>
        <w:rPr>
          <w:rFonts w:ascii="Times New Roman" w:hAnsi="Times New Roman"/>
          <w:sz w:val="28"/>
          <w:lang w:eastAsia="ru-RU"/>
        </w:rPr>
      </w:pPr>
      <w:r>
        <w:rPr>
          <w:rFonts w:ascii="Times New Roman" w:hAnsi="Times New Roman"/>
          <w:sz w:val="28"/>
        </w:rPr>
        <w:t>На основании изложенного и руководствуясь частью 1 статьи 2, пунктом 1 части 15, пунктом 2 части 22 статьи 99, частью 8 статьи 106 Закона о контрактной системе, Административным регламентом Комиссия</w:t>
      </w:r>
    </w:p>
    <w:p>
      <w:pPr>
        <w:spacing w:lineRule="exact" w:line="380" w:after="0" w:beforeAutospacing="0" w:afterAutospacing="0"/>
        <w:ind w:firstLine="709"/>
        <w:contextualSpacing w:val="1"/>
        <w:jc w:val="both"/>
        <w:rPr>
          <w:rFonts w:ascii="Times New Roman" w:hAnsi="Times New Roman"/>
          <w:sz w:val="28"/>
          <w:lang w:eastAsia="ru-RU"/>
        </w:rPr>
      </w:pPr>
    </w:p>
    <w:p>
      <w:pPr>
        <w:spacing w:lineRule="exact" w:line="360" w:after="0" w:beforeAutospacing="0" w:afterAutospacing="0"/>
        <w:contextualSpacing w:val="1"/>
        <w:jc w:val="center"/>
        <w:rPr>
          <w:rFonts w:ascii="Times New Roman" w:hAnsi="Times New Roman"/>
          <w:sz w:val="28"/>
          <w:lang w:eastAsia="ru-RU"/>
        </w:rPr>
      </w:pPr>
      <w:r>
        <w:rPr>
          <w:rFonts w:ascii="Times New Roman" w:hAnsi="Times New Roman"/>
          <w:sz w:val="28"/>
          <w:lang w:eastAsia="ru-RU"/>
        </w:rPr>
        <w:t>РЕШИЛА:</w:t>
      </w:r>
    </w:p>
    <w:p>
      <w:pPr>
        <w:tabs>
          <w:tab w:val="left" w:pos="6474" w:leader="none"/>
        </w:tabs>
        <w:spacing w:lineRule="exact" w:line="360" w:after="0" w:beforeAutospacing="0" w:afterAutospacing="0"/>
        <w:ind w:firstLine="709"/>
        <w:contextualSpacing w:val="1"/>
        <w:rPr>
          <w:rFonts w:ascii="Times New Roman" w:hAnsi="Times New Roman"/>
          <w:sz w:val="28"/>
          <w:lang w:eastAsia="ru-RU"/>
        </w:rPr>
      </w:pPr>
      <w:r>
        <w:rPr>
          <w:rFonts w:ascii="Times New Roman" w:hAnsi="Times New Roman"/>
          <w:sz w:val="28"/>
          <w:lang w:eastAsia="ru-RU"/>
        </w:rPr>
        <w:tab/>
      </w:r>
    </w:p>
    <w:p>
      <w:pPr>
        <w:pStyle w:val="P3"/>
        <w:spacing w:lineRule="exact" w:line="360" w:after="0" w:beforeAutospacing="0" w:afterAutospacing="0"/>
        <w:ind w:firstLine="709" w:left="0"/>
        <w:jc w:val="both"/>
        <w:rPr>
          <w:rFonts w:ascii="Times New Roman" w:hAnsi="Times New Roman"/>
          <w:sz w:val="28"/>
        </w:rPr>
      </w:pPr>
      <w:r>
        <w:rPr>
          <w:rFonts w:ascii="Times New Roman" w:hAnsi="Times New Roman"/>
          <w:sz w:val="28"/>
        </w:rPr>
        <w:t xml:space="preserve">1. Признать жалобу </w:t>
      </w:r>
      <w:r>
        <w:rPr>
          <w:rFonts w:ascii="Times New Roman" w:hAnsi="Times New Roman"/>
          <w:color w:val="000000"/>
          <w:sz w:val="28"/>
          <w:lang w:eastAsia="ru-RU"/>
        </w:rPr>
        <w:t xml:space="preserve">ООО «Домострой» </w:t>
      </w:r>
      <w:r>
        <w:rPr>
          <w:rFonts w:ascii="Times New Roman" w:hAnsi="Times New Roman"/>
          <w:sz w:val="28"/>
        </w:rPr>
        <w:t xml:space="preserve">обоснованной в части установления </w:t>
      </w:r>
      <w:r>
        <w:rPr>
          <w:rFonts w:ascii="Times New Roman" w:hAnsi="Times New Roman"/>
          <w:sz w:val="28"/>
          <w:lang w:val="zh-CN" w:eastAsia="zh-CN"/>
        </w:rPr>
        <w:t>ненадлежащего порядка оценки заявок участников закупки</w:t>
      </w:r>
      <w:r>
        <w:rPr>
          <w:rFonts w:ascii="Times New Roman" w:hAnsi="Times New Roman"/>
          <w:sz w:val="28"/>
          <w:lang w:eastAsia="zh-CN"/>
        </w:rPr>
        <w:t>, а также в части отсутствия</w:t>
      </w:r>
      <w:r>
        <w:rPr>
          <w:rFonts w:ascii="Times New Roman" w:hAnsi="Times New Roman"/>
          <w:sz w:val="28"/>
          <w:lang w:bidi="hi-IN"/>
        </w:rPr>
        <w:t xml:space="preserve"> условия о возможности использования эквивалентного товара при выполнении работ</w:t>
      </w:r>
      <w:r>
        <w:rPr>
          <w:rFonts w:ascii="Times New Roman" w:hAnsi="Times New Roman"/>
          <w:sz w:val="28"/>
        </w:rPr>
        <w:t>.</w:t>
      </w:r>
    </w:p>
    <w:p>
      <w:pPr>
        <w:pStyle w:val="P3"/>
        <w:spacing w:lineRule="exact" w:line="360" w:after="0" w:beforeAutospacing="0" w:afterAutospacing="0"/>
        <w:ind w:firstLine="709" w:left="0"/>
        <w:jc w:val="both"/>
        <w:rPr>
          <w:rFonts w:ascii="Times New Roman" w:hAnsi="Times New Roman"/>
          <w:sz w:val="28"/>
          <w:u w:val="none" w:color="000000"/>
        </w:rPr>
      </w:pPr>
      <w:r>
        <w:rPr>
          <w:rFonts w:ascii="Times New Roman" w:hAnsi="Times New Roman"/>
          <w:sz w:val="28"/>
        </w:rPr>
        <w:t>2. Признать в действиях Заказчика, Уполномоченного органа нарушения пункта 1 части 1 статьи 31, пунктов 1, 8 части 1 статьи 54.3 Закона о контрактной системе</w:t>
      </w:r>
      <w:r>
        <w:rPr>
          <w:rFonts w:ascii="Times New Roman" w:hAnsi="Times New Roman"/>
          <w:sz w:val="28"/>
          <w:u w:val="none" w:color="000000"/>
        </w:rPr>
        <w:t>.</w:t>
      </w:r>
    </w:p>
    <w:p>
      <w:pPr>
        <w:pStyle w:val="P3"/>
        <w:spacing w:lineRule="exact" w:line="360" w:after="0" w:beforeAutospacing="0" w:afterAutospacing="0"/>
        <w:ind w:firstLine="709" w:left="0"/>
        <w:jc w:val="both"/>
        <w:rPr>
          <w:rFonts w:ascii="Times New Roman" w:hAnsi="Times New Roman"/>
          <w:sz w:val="28"/>
        </w:rPr>
      </w:pPr>
      <w:r>
        <w:rPr>
          <w:rFonts w:ascii="Times New Roman" w:hAnsi="Times New Roman"/>
          <w:sz w:val="28"/>
          <w:u w:val="none" w:color="000000"/>
        </w:rPr>
        <w:t>3. Вы</w:t>
      </w:r>
      <w:r>
        <w:rPr>
          <w:rFonts w:ascii="Times New Roman" w:hAnsi="Times New Roman"/>
          <w:sz w:val="28"/>
        </w:rPr>
        <w:t xml:space="preserve">дать Заказчику, Уполномоченному органу, Конкурсной комиссии, Оператору электронной площадки предписание об устранении выявленных нарушений Закона о контрактной системе. </w:t>
      </w:r>
    </w:p>
    <w:p>
      <w:pPr>
        <w:pStyle w:val="P3"/>
        <w:spacing w:lineRule="exact" w:line="360" w:after="0" w:beforeAutospacing="0" w:afterAutospacing="0"/>
        <w:ind w:firstLine="709" w:left="0"/>
        <w:jc w:val="both"/>
        <w:rPr>
          <w:rFonts w:ascii="Times New Roman" w:hAnsi="Times New Roman"/>
          <w:sz w:val="28"/>
        </w:rPr>
      </w:pPr>
      <w:r>
        <w:rPr>
          <w:rFonts w:ascii="Times New Roman" w:hAnsi="Times New Roman"/>
          <w:sz w:val="28"/>
        </w:rPr>
        <w:t>4. Передать материалы от 15.02.2021 по делу № 21/44/105/143 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w:t>
      </w:r>
    </w:p>
    <w:p>
      <w:pPr>
        <w:tabs>
          <w:tab w:val="left" w:pos="1134" w:leader="none"/>
        </w:tabs>
        <w:spacing w:lineRule="auto" w:line="264" w:after="0" w:beforeAutospacing="0" w:afterAutospacing="0"/>
        <w:ind w:firstLine="709"/>
        <w:contextualSpacing w:val="1"/>
        <w:jc w:val="both"/>
        <w:rPr>
          <w:rFonts w:ascii="Times New Roman" w:hAnsi="Times New Roman"/>
          <w:sz w:val="28"/>
          <w:lang w:eastAsia="ru-RU"/>
        </w:rPr>
      </w:pPr>
    </w:p>
    <w:p>
      <w:pPr>
        <w:spacing w:lineRule="auto" w:line="264" w:after="0" w:beforeAutospacing="0" w:afterAutospacing="0"/>
        <w:ind w:firstLine="709"/>
        <w:contextualSpacing w:val="1"/>
        <w:jc w:val="both"/>
        <w:rPr>
          <w:rFonts w:ascii="Times New Roman" w:hAnsi="Times New Roman"/>
          <w:sz w:val="28"/>
          <w:lang w:eastAsia="ru-RU"/>
        </w:rPr>
      </w:pPr>
      <w:r>
        <w:rPr>
          <w:rFonts w:ascii="Times New Roman" w:hAnsi="Times New Roman"/>
          <w:sz w:val="28"/>
          <w:lang w:eastAsia="ru-RU"/>
        </w:rPr>
        <w:t>Настоящее решение может быть обжаловано в суде, арбитражном суде в течение трех месяцев в установленном законом порядке.</w:t>
      </w:r>
    </w:p>
    <w:p>
      <w:pPr>
        <w:spacing w:lineRule="atLeast" w:line="240" w:after="0" w:beforeAutospacing="0" w:afterAutospacing="0"/>
        <w:contextualSpacing w:val="1"/>
        <w:rPr>
          <w:rFonts w:ascii="Times New Roman" w:hAnsi="Times New Roman"/>
          <w:color w:val="000000"/>
          <w:sz w:val="20"/>
          <w:lang w:eastAsia="ru-RU"/>
        </w:rPr>
      </w:pPr>
    </w:p>
    <w:sectPr>
      <w:headerReference xmlns:r="http://schemas.openxmlformats.org/officeDocument/2006/relationships" w:type="default" r:id="RelHdr1"/>
      <w:type w:val="nextPage"/>
      <w:pgSz w:w="11906" w:h="16838" w:code="0"/>
      <w:pgMar w:left="1134" w:right="707" w:top="1134" w:bottom="1134" w:header="709" w:footer="709" w:gutter="0"/>
      <w:titlePg w:val="1"/>
    </w:sectPr>
  </w:body>
</w:document>
</file>

<file path=word/header1.xml><?xml version="1.0" encoding="utf-8"?>
<w:hdr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p>
    <w:pPr>
      <w:pStyle w:val="P5"/>
      <w:jc w:val="center"/>
      <w:rPr>
        <w:rFonts w:ascii="Times New Roman" w:hAnsi="Times New Roman"/>
        <w:sz w:val="24"/>
      </w:rPr>
    </w:pPr>
    <w:r>
      <w:rPr>
        <w:rFonts w:ascii="Times New Roman" w:hAnsi="Times New Roman"/>
        <w:sz w:val="24"/>
      </w:rPr>
      <w:fldChar w:fldCharType="begin"/>
    </w:r>
    <w:r>
      <w:rPr>
        <w:rFonts w:ascii="Times New Roman" w:hAnsi="Times New Roman"/>
        <w:sz w:val="24"/>
      </w:rPr>
      <w:instrText xml:space="preserve">PAGE   \* MERGEFORMAT</w:instrText>
    </w:r>
    <w:r>
      <w:rPr>
        <w:rFonts w:ascii="Times New Roman" w:hAnsi="Times New Roman"/>
        <w:sz w:val="24"/>
      </w:rPr>
      <w:fldChar w:fldCharType="separate"/>
    </w:r>
    <w:r>
      <w:rPr>
        <w:rFonts w:ascii="Times New Roman" w:hAnsi="Times New Roman"/>
        <w:noProof w:val="1"/>
        <w:sz w:val="24"/>
      </w:rPr>
      <w:t>#</w:t>
    </w:r>
    <w:r>
      <w:rPr>
        <w:rFonts w:ascii="Times New Roman" w:hAnsi="Times New Roman"/>
        <w:sz w:val="24"/>
      </w:rPr>
      <w:fldChar w:fldCharType="end"/>
    </w:r>
  </w:p>
  <w:p>
    <w:pPr>
      <w:pStyle w:val="P5"/>
      <w:jc w:val="center"/>
    </w:pPr>
  </w:p>
</w:hdr>
</file>

<file path=word/numbering.xml><?xml version="1.0" encoding="utf-8"?>
<w:numbering xmlns:w="http://schemas.openxmlformats.org/wordprocessingml/2006/main">
  <w:abstractNum w:abstractNumId="0">
    <w:nsid w:val="02151DA2"/>
    <w:multiLevelType w:val="multilevel"/>
    <w:lvl w:ilvl="0">
      <w:start w:val="1"/>
      <w:numFmt w:val="decimal"/>
      <w:suff w:val="tab"/>
      <w:lvlText w:val="%1."/>
      <w:lvlJc w:val="left"/>
      <w:pPr>
        <w:ind w:hanging="360" w:left="720"/>
      </w:pPr>
      <w:rPr/>
    </w:lvl>
    <w:lvl w:ilvl="1">
      <w:start w:val="1"/>
      <w:numFmt w:val="decimal"/>
      <w:suff w:val="tab"/>
      <w:lvlText w:val="%2."/>
      <w:lvlJc w:val="left"/>
      <w:pPr>
        <w:ind w:hanging="360" w:left="1440"/>
      </w:pPr>
      <w:rPr/>
    </w:lvl>
    <w:lvl w:ilvl="2">
      <w:start w:val="2"/>
      <w:numFmt w:val="decimal"/>
      <w:suff w:val="tab"/>
      <w:lvlText w:val="%3."/>
      <w:lvlJc w:val="left"/>
      <w:pPr>
        <w:ind w:hanging="360" w:left="2160"/>
      </w:pPr>
      <w:rPr/>
    </w:lvl>
    <w:lvl w:ilvl="3">
      <w:start w:val="1"/>
      <w:numFmt w:val="decimal"/>
      <w:suff w:val="tab"/>
      <w:lvlText w:val="%4."/>
      <w:lvlJc w:val="left"/>
      <w:pPr>
        <w:ind w:hanging="360" w:left="2880"/>
      </w:pPr>
      <w:rPr/>
    </w:lvl>
    <w:lvl w:ilvl="4">
      <w:start w:val="1"/>
      <w:numFmt w:val="decimal"/>
      <w:suff w:val="tab"/>
      <w:lvlText w:val="%5."/>
      <w:lvlJc w:val="left"/>
      <w:pPr>
        <w:ind w:hanging="360" w:left="3600"/>
      </w:pPr>
      <w:rPr/>
    </w:lvl>
    <w:lvl w:ilvl="5">
      <w:start w:val="1"/>
      <w:numFmt w:val="decimal"/>
      <w:suff w:val="tab"/>
      <w:lvlText w:val="%6."/>
      <w:lvlJc w:val="left"/>
      <w:pPr>
        <w:ind w:hanging="360" w:left="4320"/>
      </w:pPr>
      <w:rPr/>
    </w:lvl>
    <w:lvl w:ilvl="6">
      <w:start w:val="1"/>
      <w:numFmt w:val="decimal"/>
      <w:suff w:val="tab"/>
      <w:lvlText w:val="%7."/>
      <w:lvlJc w:val="left"/>
      <w:pPr>
        <w:ind w:hanging="360" w:left="5040"/>
      </w:pPr>
      <w:rPr/>
    </w:lvl>
    <w:lvl w:ilvl="7">
      <w:start w:val="1"/>
      <w:numFmt w:val="decimal"/>
      <w:suff w:val="tab"/>
      <w:lvlText w:val="%8."/>
      <w:lvlJc w:val="left"/>
      <w:pPr>
        <w:ind w:hanging="360" w:left="5760"/>
      </w:pPr>
      <w:rPr/>
    </w:lvl>
    <w:lvl w:ilvl="8">
      <w:start w:val="1"/>
      <w:numFmt w:val="decimal"/>
      <w:suff w:val="tab"/>
      <w:lvlText w:val="%9."/>
      <w:lvlJc w:val="left"/>
      <w:pPr>
        <w:ind w:hanging="360" w:left="6480"/>
      </w:pPr>
      <w:rPr/>
    </w:lvl>
  </w:abstractNum>
  <w:abstractNum w:abstractNumId="1">
    <w:nsid w:val="09BF0CCA"/>
    <w:multiLevelType w:val="hybridMultilevel"/>
    <w:lvl w:ilvl="0" w:tplc="E9C26C9C">
      <w:start w:val="1"/>
      <w:numFmt w:val="bullet"/>
      <w:suff w:val="tab"/>
      <w:lvlText w:val=""/>
      <w:lvlJc w:val="left"/>
      <w:pPr>
        <w:ind w:hanging="360" w:left="720"/>
      </w:pPr>
      <w:rPr>
        <w:rFonts w:ascii="Symbol" w:hAnsi="Symbol"/>
      </w:rPr>
    </w:lvl>
    <w:lvl w:ilvl="1" w:tplc="04190003">
      <w:start w:val="1"/>
      <w:numFmt w:val="bullet"/>
      <w:suff w:val="tab"/>
      <w:lvlText w:val="o"/>
      <w:lvlJc w:val="left"/>
      <w:pPr>
        <w:ind w:hanging="360" w:left="1440"/>
      </w:pPr>
      <w:rPr>
        <w:rFonts w:ascii="Courier New" w:hAnsi="Courier New"/>
      </w:rPr>
    </w:lvl>
    <w:lvl w:ilvl="2" w:tplc="04190005">
      <w:start w:val="1"/>
      <w:numFmt w:val="bullet"/>
      <w:suff w:val="tab"/>
      <w:lvlText w:val=""/>
      <w:lvlJc w:val="left"/>
      <w:pPr>
        <w:ind w:hanging="360" w:left="2160"/>
      </w:pPr>
      <w:rPr>
        <w:rFonts w:ascii="Wingdings" w:hAnsi="Wingdings"/>
      </w:rPr>
    </w:lvl>
    <w:lvl w:ilvl="3" w:tplc="04190001">
      <w:start w:val="1"/>
      <w:numFmt w:val="bullet"/>
      <w:suff w:val="tab"/>
      <w:lvlText w:val=""/>
      <w:lvlJc w:val="left"/>
      <w:pPr>
        <w:ind w:hanging="360" w:left="2880"/>
      </w:pPr>
      <w:rPr>
        <w:rFonts w:ascii="Symbol" w:hAnsi="Symbol"/>
      </w:rPr>
    </w:lvl>
    <w:lvl w:ilvl="4" w:tplc="04190003">
      <w:start w:val="1"/>
      <w:numFmt w:val="bullet"/>
      <w:suff w:val="tab"/>
      <w:lvlText w:val="o"/>
      <w:lvlJc w:val="left"/>
      <w:pPr>
        <w:ind w:hanging="360" w:left="3600"/>
      </w:pPr>
      <w:rPr>
        <w:rFonts w:ascii="Courier New" w:hAnsi="Courier New"/>
      </w:rPr>
    </w:lvl>
    <w:lvl w:ilvl="5" w:tplc="04190005">
      <w:start w:val="1"/>
      <w:numFmt w:val="bullet"/>
      <w:suff w:val="tab"/>
      <w:lvlText w:val=""/>
      <w:lvlJc w:val="left"/>
      <w:pPr>
        <w:ind w:hanging="360" w:left="4320"/>
      </w:pPr>
      <w:rPr>
        <w:rFonts w:ascii="Wingdings" w:hAnsi="Wingdings"/>
      </w:rPr>
    </w:lvl>
    <w:lvl w:ilvl="6" w:tplc="04190001">
      <w:start w:val="1"/>
      <w:numFmt w:val="bullet"/>
      <w:suff w:val="tab"/>
      <w:lvlText w:val=""/>
      <w:lvlJc w:val="left"/>
      <w:pPr>
        <w:ind w:hanging="360" w:left="5040"/>
      </w:pPr>
      <w:rPr>
        <w:rFonts w:ascii="Symbol" w:hAnsi="Symbol"/>
      </w:rPr>
    </w:lvl>
    <w:lvl w:ilvl="7" w:tplc="04190003">
      <w:start w:val="1"/>
      <w:numFmt w:val="bullet"/>
      <w:suff w:val="tab"/>
      <w:lvlText w:val="o"/>
      <w:lvlJc w:val="left"/>
      <w:pPr>
        <w:ind w:hanging="360" w:left="5760"/>
      </w:pPr>
      <w:rPr>
        <w:rFonts w:ascii="Courier New" w:hAnsi="Courier New"/>
      </w:rPr>
    </w:lvl>
    <w:lvl w:ilvl="8" w:tplc="04190005">
      <w:start w:val="1"/>
      <w:numFmt w:val="bullet"/>
      <w:suff w:val="tab"/>
      <w:lvlText w:val=""/>
      <w:lvlJc w:val="left"/>
      <w:pPr>
        <w:ind w:hanging="360" w:left="6480"/>
      </w:pPr>
      <w:rPr>
        <w:rFonts w:ascii="Wingdings" w:hAnsi="Wingdings"/>
      </w:rPr>
    </w:lvl>
  </w:abstractNum>
  <w:abstractNum w:abstractNumId="2">
    <w:nsid w:val="0BAB475C"/>
    <w:multiLevelType w:val="hybridMultilevel"/>
    <w:lvl w:ilvl="0" w:tplc="795E7F76">
      <w:start w:val="1"/>
      <w:numFmt w:val="decimal"/>
      <w:suff w:val="tab"/>
      <w:lvlText w:val="%1."/>
      <w:lvlJc w:val="left"/>
      <w:pPr>
        <w:ind w:hanging="360" w:left="1211"/>
      </w:pPr>
      <w:rPr/>
    </w:lvl>
    <w:lvl w:ilvl="1" w:tplc="04190019">
      <w:start w:val="1"/>
      <w:numFmt w:val="lowerLetter"/>
      <w:suff w:val="tab"/>
      <w:lvlText w:val="%2."/>
      <w:lvlJc w:val="left"/>
      <w:pPr>
        <w:ind w:hanging="360" w:left="1931"/>
      </w:pPr>
      <w:rPr/>
    </w:lvl>
    <w:lvl w:ilvl="2" w:tplc="0419001B">
      <w:start w:val="1"/>
      <w:numFmt w:val="lowerRoman"/>
      <w:suff w:val="tab"/>
      <w:lvlText w:val="%3."/>
      <w:lvlJc w:val="right"/>
      <w:pPr>
        <w:ind w:hanging="180" w:left="2651"/>
      </w:pPr>
      <w:rPr/>
    </w:lvl>
    <w:lvl w:ilvl="3" w:tplc="0419000F">
      <w:start w:val="1"/>
      <w:numFmt w:val="decimal"/>
      <w:suff w:val="tab"/>
      <w:lvlText w:val="%4."/>
      <w:lvlJc w:val="left"/>
      <w:pPr>
        <w:ind w:hanging="360" w:left="3371"/>
      </w:pPr>
      <w:rPr/>
    </w:lvl>
    <w:lvl w:ilvl="4" w:tplc="04190019">
      <w:start w:val="1"/>
      <w:numFmt w:val="lowerLetter"/>
      <w:suff w:val="tab"/>
      <w:lvlText w:val="%5."/>
      <w:lvlJc w:val="left"/>
      <w:pPr>
        <w:ind w:hanging="360" w:left="4091"/>
      </w:pPr>
      <w:rPr/>
    </w:lvl>
    <w:lvl w:ilvl="5" w:tplc="0419001B">
      <w:start w:val="1"/>
      <w:numFmt w:val="lowerRoman"/>
      <w:suff w:val="tab"/>
      <w:lvlText w:val="%6."/>
      <w:lvlJc w:val="right"/>
      <w:pPr>
        <w:ind w:hanging="180" w:left="4811"/>
      </w:pPr>
      <w:rPr/>
    </w:lvl>
    <w:lvl w:ilvl="6" w:tplc="0419000F">
      <w:start w:val="1"/>
      <w:numFmt w:val="decimal"/>
      <w:suff w:val="tab"/>
      <w:lvlText w:val="%7."/>
      <w:lvlJc w:val="left"/>
      <w:pPr>
        <w:ind w:hanging="360" w:left="5531"/>
      </w:pPr>
      <w:rPr/>
    </w:lvl>
    <w:lvl w:ilvl="7" w:tplc="04190019">
      <w:start w:val="1"/>
      <w:numFmt w:val="lowerLetter"/>
      <w:suff w:val="tab"/>
      <w:lvlText w:val="%8."/>
      <w:lvlJc w:val="left"/>
      <w:pPr>
        <w:ind w:hanging="360" w:left="6251"/>
      </w:pPr>
      <w:rPr/>
    </w:lvl>
    <w:lvl w:ilvl="8" w:tplc="0419001B">
      <w:start w:val="1"/>
      <w:numFmt w:val="lowerRoman"/>
      <w:suff w:val="tab"/>
      <w:lvlText w:val="%9."/>
      <w:lvlJc w:val="right"/>
      <w:pPr>
        <w:ind w:hanging="180" w:left="6971"/>
      </w:pPr>
      <w:rPr/>
    </w:lvl>
  </w:abstractNum>
  <w:abstractNum w:abstractNumId="3">
    <w:nsid w:val="0CB35B2B"/>
    <w:multiLevelType w:val="hybridMultilevel"/>
    <w:lvl w:ilvl="0" w:tplc="47FCFCC4">
      <w:start w:val="1"/>
      <w:numFmt w:val="decimal"/>
      <w:suff w:val="tab"/>
      <w:lvlText w:val="%1."/>
      <w:lvlJc w:val="left"/>
      <w:pPr>
        <w:ind w:hanging="360" w:left="1068"/>
      </w:pPr>
      <w:rPr/>
    </w:lvl>
    <w:lvl w:ilvl="1" w:tplc="04190019">
      <w:start w:val="1"/>
      <w:numFmt w:val="lowerLetter"/>
      <w:suff w:val="tab"/>
      <w:lvlText w:val="%2."/>
      <w:lvlJc w:val="left"/>
      <w:pPr>
        <w:ind w:hanging="360" w:left="1788"/>
      </w:pPr>
      <w:rPr/>
    </w:lvl>
    <w:lvl w:ilvl="2" w:tplc="0419001B">
      <w:start w:val="1"/>
      <w:numFmt w:val="lowerRoman"/>
      <w:suff w:val="tab"/>
      <w:lvlText w:val="%3."/>
      <w:lvlJc w:val="right"/>
      <w:pPr>
        <w:ind w:hanging="180" w:left="2508"/>
      </w:pPr>
      <w:rPr/>
    </w:lvl>
    <w:lvl w:ilvl="3" w:tplc="0419000F">
      <w:start w:val="1"/>
      <w:numFmt w:val="decimal"/>
      <w:suff w:val="tab"/>
      <w:lvlText w:val="%4."/>
      <w:lvlJc w:val="left"/>
      <w:pPr>
        <w:ind w:hanging="360" w:left="3228"/>
      </w:pPr>
      <w:rPr/>
    </w:lvl>
    <w:lvl w:ilvl="4" w:tplc="04190019">
      <w:start w:val="1"/>
      <w:numFmt w:val="lowerLetter"/>
      <w:suff w:val="tab"/>
      <w:lvlText w:val="%5."/>
      <w:lvlJc w:val="left"/>
      <w:pPr>
        <w:ind w:hanging="360" w:left="3948"/>
      </w:pPr>
      <w:rPr/>
    </w:lvl>
    <w:lvl w:ilvl="5" w:tplc="0419001B">
      <w:start w:val="1"/>
      <w:numFmt w:val="lowerRoman"/>
      <w:suff w:val="tab"/>
      <w:lvlText w:val="%6."/>
      <w:lvlJc w:val="right"/>
      <w:pPr>
        <w:ind w:hanging="180" w:left="4668"/>
      </w:pPr>
      <w:rPr/>
    </w:lvl>
    <w:lvl w:ilvl="6" w:tplc="0419000F">
      <w:start w:val="1"/>
      <w:numFmt w:val="decimal"/>
      <w:suff w:val="tab"/>
      <w:lvlText w:val="%7."/>
      <w:lvlJc w:val="left"/>
      <w:pPr>
        <w:ind w:hanging="360" w:left="5388"/>
      </w:pPr>
      <w:rPr/>
    </w:lvl>
    <w:lvl w:ilvl="7" w:tplc="04190019">
      <w:start w:val="1"/>
      <w:numFmt w:val="lowerLetter"/>
      <w:suff w:val="tab"/>
      <w:lvlText w:val="%8."/>
      <w:lvlJc w:val="left"/>
      <w:pPr>
        <w:ind w:hanging="360" w:left="6108"/>
      </w:pPr>
      <w:rPr/>
    </w:lvl>
    <w:lvl w:ilvl="8" w:tplc="0419001B">
      <w:start w:val="1"/>
      <w:numFmt w:val="lowerRoman"/>
      <w:suff w:val="tab"/>
      <w:lvlText w:val="%9."/>
      <w:lvlJc w:val="right"/>
      <w:pPr>
        <w:ind w:hanging="180" w:left="6828"/>
      </w:pPr>
      <w:rPr/>
    </w:lvl>
  </w:abstractNum>
  <w:abstractNum w:abstractNumId="4">
    <w:nsid w:val="0F376B92"/>
    <w:multiLevelType w:val="hybridMultilevel"/>
    <w:lvl w:ilvl="0" w:tplc="E9C26C9C">
      <w:start w:val="1"/>
      <w:numFmt w:val="bullet"/>
      <w:suff w:val="tab"/>
      <w:lvlText w:val=""/>
      <w:lvlJc w:val="left"/>
      <w:pPr>
        <w:ind w:hanging="360" w:left="720"/>
      </w:pPr>
      <w:rPr>
        <w:rFonts w:ascii="Symbol" w:hAnsi="Symbol"/>
      </w:rPr>
    </w:lvl>
    <w:lvl w:ilvl="1" w:tplc="04190003">
      <w:start w:val="1"/>
      <w:numFmt w:val="bullet"/>
      <w:suff w:val="tab"/>
      <w:lvlText w:val="o"/>
      <w:lvlJc w:val="left"/>
      <w:pPr>
        <w:ind w:hanging="360" w:left="1440"/>
      </w:pPr>
      <w:rPr>
        <w:rFonts w:ascii="Courier New" w:hAnsi="Courier New"/>
      </w:rPr>
    </w:lvl>
    <w:lvl w:ilvl="2" w:tplc="04190005">
      <w:start w:val="1"/>
      <w:numFmt w:val="bullet"/>
      <w:suff w:val="tab"/>
      <w:lvlText w:val=""/>
      <w:lvlJc w:val="left"/>
      <w:pPr>
        <w:ind w:hanging="360" w:left="2160"/>
      </w:pPr>
      <w:rPr>
        <w:rFonts w:ascii="Wingdings" w:hAnsi="Wingdings"/>
      </w:rPr>
    </w:lvl>
    <w:lvl w:ilvl="3" w:tplc="04190001">
      <w:start w:val="1"/>
      <w:numFmt w:val="bullet"/>
      <w:suff w:val="tab"/>
      <w:lvlText w:val=""/>
      <w:lvlJc w:val="left"/>
      <w:pPr>
        <w:ind w:hanging="360" w:left="2880"/>
      </w:pPr>
      <w:rPr>
        <w:rFonts w:ascii="Symbol" w:hAnsi="Symbol"/>
      </w:rPr>
    </w:lvl>
    <w:lvl w:ilvl="4" w:tplc="04190003">
      <w:start w:val="1"/>
      <w:numFmt w:val="bullet"/>
      <w:suff w:val="tab"/>
      <w:lvlText w:val="o"/>
      <w:lvlJc w:val="left"/>
      <w:pPr>
        <w:ind w:hanging="360" w:left="3600"/>
      </w:pPr>
      <w:rPr>
        <w:rFonts w:ascii="Courier New" w:hAnsi="Courier New"/>
      </w:rPr>
    </w:lvl>
    <w:lvl w:ilvl="5" w:tplc="04190005">
      <w:start w:val="1"/>
      <w:numFmt w:val="bullet"/>
      <w:suff w:val="tab"/>
      <w:lvlText w:val=""/>
      <w:lvlJc w:val="left"/>
      <w:pPr>
        <w:ind w:hanging="360" w:left="4320"/>
      </w:pPr>
      <w:rPr>
        <w:rFonts w:ascii="Wingdings" w:hAnsi="Wingdings"/>
      </w:rPr>
    </w:lvl>
    <w:lvl w:ilvl="6" w:tplc="04190001">
      <w:start w:val="1"/>
      <w:numFmt w:val="bullet"/>
      <w:suff w:val="tab"/>
      <w:lvlText w:val=""/>
      <w:lvlJc w:val="left"/>
      <w:pPr>
        <w:ind w:hanging="360" w:left="5040"/>
      </w:pPr>
      <w:rPr>
        <w:rFonts w:ascii="Symbol" w:hAnsi="Symbol"/>
      </w:rPr>
    </w:lvl>
    <w:lvl w:ilvl="7" w:tplc="04190003">
      <w:start w:val="1"/>
      <w:numFmt w:val="bullet"/>
      <w:suff w:val="tab"/>
      <w:lvlText w:val="o"/>
      <w:lvlJc w:val="left"/>
      <w:pPr>
        <w:ind w:hanging="360" w:left="5760"/>
      </w:pPr>
      <w:rPr>
        <w:rFonts w:ascii="Courier New" w:hAnsi="Courier New"/>
      </w:rPr>
    </w:lvl>
    <w:lvl w:ilvl="8" w:tplc="04190005">
      <w:start w:val="1"/>
      <w:numFmt w:val="bullet"/>
      <w:suff w:val="tab"/>
      <w:lvlText w:val=""/>
      <w:lvlJc w:val="left"/>
      <w:pPr>
        <w:ind w:hanging="360" w:left="6480"/>
      </w:pPr>
      <w:rPr>
        <w:rFonts w:ascii="Wingdings" w:hAnsi="Wingdings"/>
      </w:rPr>
    </w:lvl>
  </w:abstractNum>
  <w:abstractNum w:abstractNumId="5">
    <w:nsid w:val="102B026E"/>
    <w:multiLevelType w:val="multilevel"/>
    <w:lvl w:ilvl="0">
      <w:start w:val="1"/>
      <w:numFmt w:val="decimal"/>
      <w:suff w:val="tab"/>
      <w:lvlText w:val="%1."/>
      <w:lvlJc w:val="left"/>
      <w:pPr>
        <w:ind w:hanging="360" w:left="720"/>
      </w:pPr>
      <w:rPr/>
    </w:lvl>
    <w:lvl w:ilvl="1">
      <w:start w:val="1"/>
      <w:numFmt w:val="decimal"/>
      <w:suff w:val="tab"/>
      <w:lvlText w:val="%2."/>
      <w:lvlJc w:val="left"/>
      <w:pPr>
        <w:ind w:hanging="360" w:left="1440"/>
      </w:pPr>
      <w:rPr/>
    </w:lvl>
    <w:lvl w:ilvl="2">
      <w:start w:val="1"/>
      <w:numFmt w:val="decimal"/>
      <w:suff w:val="tab"/>
      <w:lvlText w:val="%3."/>
      <w:lvlJc w:val="left"/>
      <w:pPr>
        <w:ind w:hanging="360" w:left="2160"/>
      </w:pPr>
      <w:rPr/>
    </w:lvl>
    <w:lvl w:ilvl="3">
      <w:start w:val="1"/>
      <w:numFmt w:val="decimal"/>
      <w:suff w:val="tab"/>
      <w:lvlText w:val="%4."/>
      <w:lvlJc w:val="left"/>
      <w:pPr>
        <w:ind w:hanging="360" w:left="2880"/>
      </w:pPr>
      <w:rPr/>
    </w:lvl>
    <w:lvl w:ilvl="4">
      <w:start w:val="1"/>
      <w:numFmt w:val="decimal"/>
      <w:suff w:val="tab"/>
      <w:lvlText w:val="%5."/>
      <w:lvlJc w:val="left"/>
      <w:pPr>
        <w:ind w:hanging="360" w:left="3600"/>
      </w:pPr>
      <w:rPr/>
    </w:lvl>
    <w:lvl w:ilvl="5">
      <w:start w:val="1"/>
      <w:numFmt w:val="decimal"/>
      <w:suff w:val="tab"/>
      <w:lvlText w:val="%6."/>
      <w:lvlJc w:val="left"/>
      <w:pPr>
        <w:ind w:hanging="360" w:left="4320"/>
      </w:pPr>
      <w:rPr/>
    </w:lvl>
    <w:lvl w:ilvl="6">
      <w:start w:val="1"/>
      <w:numFmt w:val="decimal"/>
      <w:suff w:val="tab"/>
      <w:lvlText w:val="%7."/>
      <w:lvlJc w:val="left"/>
      <w:pPr>
        <w:ind w:hanging="360" w:left="5040"/>
      </w:pPr>
      <w:rPr/>
    </w:lvl>
    <w:lvl w:ilvl="7">
      <w:start w:val="1"/>
      <w:numFmt w:val="decimal"/>
      <w:suff w:val="tab"/>
      <w:lvlText w:val="%8."/>
      <w:lvlJc w:val="left"/>
      <w:pPr>
        <w:ind w:hanging="360" w:left="5760"/>
      </w:pPr>
      <w:rPr/>
    </w:lvl>
    <w:lvl w:ilvl="8">
      <w:start w:val="1"/>
      <w:numFmt w:val="decimal"/>
      <w:suff w:val="tab"/>
      <w:lvlText w:val="%9."/>
      <w:lvlJc w:val="left"/>
      <w:pPr>
        <w:ind w:hanging="360" w:left="6480"/>
      </w:pPr>
      <w:rPr/>
    </w:lvl>
  </w:abstractNum>
  <w:abstractNum w:abstractNumId="6">
    <w:nsid w:val="1DC66B86"/>
    <w:multiLevelType w:val="hybridMultilevel"/>
    <w:lvl w:ilvl="0" w:tplc="0419000F">
      <w:start w:val="1"/>
      <w:numFmt w:val="decimal"/>
      <w:suff w:val="tab"/>
      <w:lvlText w:val="%1."/>
      <w:lvlJc w:val="left"/>
      <w:pPr>
        <w:ind w:hanging="360" w:left="1070"/>
      </w:pPr>
      <w:rPr/>
    </w:lvl>
    <w:lvl w:ilvl="1" w:tplc="04190019">
      <w:start w:val="1"/>
      <w:numFmt w:val="lowerLetter"/>
      <w:suff w:val="tab"/>
      <w:lvlText w:val="%2."/>
      <w:lvlJc w:val="left"/>
      <w:pPr>
        <w:ind w:hanging="360" w:left="1790"/>
      </w:pPr>
      <w:rPr/>
    </w:lvl>
    <w:lvl w:ilvl="2" w:tplc="0419001B">
      <w:start w:val="1"/>
      <w:numFmt w:val="lowerRoman"/>
      <w:suff w:val="tab"/>
      <w:lvlText w:val="%3."/>
      <w:lvlJc w:val="right"/>
      <w:pPr>
        <w:ind w:hanging="180" w:left="2510"/>
      </w:pPr>
      <w:rPr/>
    </w:lvl>
    <w:lvl w:ilvl="3" w:tplc="0419000F">
      <w:start w:val="1"/>
      <w:numFmt w:val="decimal"/>
      <w:suff w:val="tab"/>
      <w:lvlText w:val="%4."/>
      <w:lvlJc w:val="left"/>
      <w:pPr>
        <w:ind w:hanging="360" w:left="3230"/>
      </w:pPr>
      <w:rPr/>
    </w:lvl>
    <w:lvl w:ilvl="4" w:tplc="04190019">
      <w:start w:val="1"/>
      <w:numFmt w:val="lowerLetter"/>
      <w:suff w:val="tab"/>
      <w:lvlText w:val="%5."/>
      <w:lvlJc w:val="left"/>
      <w:pPr>
        <w:ind w:hanging="360" w:left="3950"/>
      </w:pPr>
      <w:rPr/>
    </w:lvl>
    <w:lvl w:ilvl="5" w:tplc="0419001B">
      <w:start w:val="1"/>
      <w:numFmt w:val="lowerRoman"/>
      <w:suff w:val="tab"/>
      <w:lvlText w:val="%6."/>
      <w:lvlJc w:val="right"/>
      <w:pPr>
        <w:ind w:hanging="180" w:left="4670"/>
      </w:pPr>
      <w:rPr/>
    </w:lvl>
    <w:lvl w:ilvl="6" w:tplc="0419000F">
      <w:start w:val="1"/>
      <w:numFmt w:val="decimal"/>
      <w:suff w:val="tab"/>
      <w:lvlText w:val="%7."/>
      <w:lvlJc w:val="left"/>
      <w:pPr>
        <w:ind w:hanging="360" w:left="5390"/>
      </w:pPr>
      <w:rPr/>
    </w:lvl>
    <w:lvl w:ilvl="7" w:tplc="04190019">
      <w:start w:val="1"/>
      <w:numFmt w:val="lowerLetter"/>
      <w:suff w:val="tab"/>
      <w:lvlText w:val="%8."/>
      <w:lvlJc w:val="left"/>
      <w:pPr>
        <w:ind w:hanging="360" w:left="6110"/>
      </w:pPr>
      <w:rPr/>
    </w:lvl>
    <w:lvl w:ilvl="8" w:tplc="0419001B">
      <w:start w:val="1"/>
      <w:numFmt w:val="lowerRoman"/>
      <w:suff w:val="tab"/>
      <w:lvlText w:val="%9."/>
      <w:lvlJc w:val="right"/>
      <w:pPr>
        <w:ind w:hanging="180" w:left="6830"/>
      </w:pPr>
      <w:rPr/>
    </w:lvl>
  </w:abstractNum>
  <w:abstractNum w:abstractNumId="7">
    <w:nsid w:val="1F232C7E"/>
    <w:multiLevelType w:val="hybridMultilevel"/>
    <w:lvl w:ilvl="0" w:tplc="529E020E">
      <w:start w:val="1"/>
      <w:numFmt w:val="decimal"/>
      <w:suff w:val="tab"/>
      <w:lvlText w:val="%1."/>
      <w:lvlJc w:val="left"/>
      <w:pPr>
        <w:ind w:hanging="555" w:left="1406"/>
      </w:pPr>
      <w:rPr/>
    </w:lvl>
    <w:lvl w:ilvl="1" w:tplc="04190019">
      <w:start w:val="1"/>
      <w:numFmt w:val="lowerLetter"/>
      <w:suff w:val="tab"/>
      <w:lvlText w:val="%2."/>
      <w:lvlJc w:val="left"/>
      <w:pPr>
        <w:ind w:hanging="360" w:left="1931"/>
      </w:pPr>
      <w:rPr/>
    </w:lvl>
    <w:lvl w:ilvl="2" w:tplc="0419001B">
      <w:start w:val="1"/>
      <w:numFmt w:val="lowerRoman"/>
      <w:suff w:val="tab"/>
      <w:lvlText w:val="%3."/>
      <w:lvlJc w:val="right"/>
      <w:pPr>
        <w:ind w:hanging="180" w:left="2651"/>
      </w:pPr>
      <w:rPr/>
    </w:lvl>
    <w:lvl w:ilvl="3" w:tplc="0419000F">
      <w:start w:val="1"/>
      <w:numFmt w:val="decimal"/>
      <w:suff w:val="tab"/>
      <w:lvlText w:val="%4."/>
      <w:lvlJc w:val="left"/>
      <w:pPr>
        <w:ind w:hanging="360" w:left="3371"/>
      </w:pPr>
      <w:rPr/>
    </w:lvl>
    <w:lvl w:ilvl="4" w:tplc="04190019">
      <w:start w:val="1"/>
      <w:numFmt w:val="lowerLetter"/>
      <w:suff w:val="tab"/>
      <w:lvlText w:val="%5."/>
      <w:lvlJc w:val="left"/>
      <w:pPr>
        <w:ind w:hanging="360" w:left="4091"/>
      </w:pPr>
      <w:rPr/>
    </w:lvl>
    <w:lvl w:ilvl="5" w:tplc="0419001B">
      <w:start w:val="1"/>
      <w:numFmt w:val="lowerRoman"/>
      <w:suff w:val="tab"/>
      <w:lvlText w:val="%6."/>
      <w:lvlJc w:val="right"/>
      <w:pPr>
        <w:ind w:hanging="180" w:left="4811"/>
      </w:pPr>
      <w:rPr/>
    </w:lvl>
    <w:lvl w:ilvl="6" w:tplc="0419000F">
      <w:start w:val="1"/>
      <w:numFmt w:val="decimal"/>
      <w:suff w:val="tab"/>
      <w:lvlText w:val="%7."/>
      <w:lvlJc w:val="left"/>
      <w:pPr>
        <w:ind w:hanging="360" w:left="5531"/>
      </w:pPr>
      <w:rPr/>
    </w:lvl>
    <w:lvl w:ilvl="7" w:tplc="04190019">
      <w:start w:val="1"/>
      <w:numFmt w:val="lowerLetter"/>
      <w:suff w:val="tab"/>
      <w:lvlText w:val="%8."/>
      <w:lvlJc w:val="left"/>
      <w:pPr>
        <w:ind w:hanging="360" w:left="6251"/>
      </w:pPr>
      <w:rPr/>
    </w:lvl>
    <w:lvl w:ilvl="8" w:tplc="0419001B">
      <w:start w:val="1"/>
      <w:numFmt w:val="lowerRoman"/>
      <w:suff w:val="tab"/>
      <w:lvlText w:val="%9."/>
      <w:lvlJc w:val="right"/>
      <w:pPr>
        <w:ind w:hanging="180" w:left="6971"/>
      </w:pPr>
      <w:rPr/>
    </w:lvl>
  </w:abstractNum>
  <w:abstractNum w:abstractNumId="8">
    <w:nsid w:val="298A48D5"/>
    <w:multiLevelType w:val="hybridMultilevel"/>
    <w:lvl w:ilvl="0" w:tplc="34B2EE64">
      <w:start w:val="1"/>
      <w:numFmt w:val="decimal"/>
      <w:suff w:val="tab"/>
      <w:lvlText w:val="%1)"/>
      <w:lvlJc w:val="left"/>
      <w:pPr>
        <w:ind w:hanging="480" w:left="1331"/>
      </w:pPr>
      <w:rPr/>
    </w:lvl>
    <w:lvl w:ilvl="1" w:tplc="04190019">
      <w:start w:val="1"/>
      <w:numFmt w:val="lowerLetter"/>
      <w:suff w:val="tab"/>
      <w:lvlText w:val="%2."/>
      <w:lvlJc w:val="left"/>
      <w:pPr>
        <w:ind w:hanging="360" w:left="1931"/>
      </w:pPr>
      <w:rPr/>
    </w:lvl>
    <w:lvl w:ilvl="2" w:tplc="0419001B">
      <w:start w:val="1"/>
      <w:numFmt w:val="lowerRoman"/>
      <w:suff w:val="tab"/>
      <w:lvlText w:val="%3."/>
      <w:lvlJc w:val="right"/>
      <w:pPr>
        <w:ind w:hanging="180" w:left="2651"/>
      </w:pPr>
      <w:rPr/>
    </w:lvl>
    <w:lvl w:ilvl="3" w:tplc="0419000F">
      <w:start w:val="1"/>
      <w:numFmt w:val="decimal"/>
      <w:suff w:val="tab"/>
      <w:lvlText w:val="%4."/>
      <w:lvlJc w:val="left"/>
      <w:pPr>
        <w:ind w:hanging="360" w:left="3371"/>
      </w:pPr>
      <w:rPr/>
    </w:lvl>
    <w:lvl w:ilvl="4" w:tplc="04190019">
      <w:start w:val="1"/>
      <w:numFmt w:val="lowerLetter"/>
      <w:suff w:val="tab"/>
      <w:lvlText w:val="%5."/>
      <w:lvlJc w:val="left"/>
      <w:pPr>
        <w:ind w:hanging="360" w:left="4091"/>
      </w:pPr>
      <w:rPr/>
    </w:lvl>
    <w:lvl w:ilvl="5" w:tplc="0419001B">
      <w:start w:val="1"/>
      <w:numFmt w:val="lowerRoman"/>
      <w:suff w:val="tab"/>
      <w:lvlText w:val="%6."/>
      <w:lvlJc w:val="right"/>
      <w:pPr>
        <w:ind w:hanging="180" w:left="4811"/>
      </w:pPr>
      <w:rPr/>
    </w:lvl>
    <w:lvl w:ilvl="6" w:tplc="0419000F">
      <w:start w:val="1"/>
      <w:numFmt w:val="decimal"/>
      <w:suff w:val="tab"/>
      <w:lvlText w:val="%7."/>
      <w:lvlJc w:val="left"/>
      <w:pPr>
        <w:ind w:hanging="360" w:left="5531"/>
      </w:pPr>
      <w:rPr/>
    </w:lvl>
    <w:lvl w:ilvl="7" w:tplc="04190019">
      <w:start w:val="1"/>
      <w:numFmt w:val="lowerLetter"/>
      <w:suff w:val="tab"/>
      <w:lvlText w:val="%8."/>
      <w:lvlJc w:val="left"/>
      <w:pPr>
        <w:ind w:hanging="360" w:left="6251"/>
      </w:pPr>
      <w:rPr/>
    </w:lvl>
    <w:lvl w:ilvl="8" w:tplc="0419001B">
      <w:start w:val="1"/>
      <w:numFmt w:val="lowerRoman"/>
      <w:suff w:val="tab"/>
      <w:lvlText w:val="%9."/>
      <w:lvlJc w:val="right"/>
      <w:pPr>
        <w:ind w:hanging="180" w:left="6971"/>
      </w:pPr>
      <w:rPr/>
    </w:lvl>
  </w:abstractNum>
  <w:abstractNum w:abstractNumId="9">
    <w:nsid w:val="2ADA25CE"/>
    <w:multiLevelType w:val="hybridMultilevel"/>
    <w:lvl w:ilvl="0" w:tplc="F16A0C2E">
      <w:start w:val="1"/>
      <w:numFmt w:val="decimal"/>
      <w:suff w:val="tab"/>
      <w:lvlText w:val="%1."/>
      <w:lvlJc w:val="left"/>
      <w:pPr>
        <w:ind w:hanging="360" w:left="1211"/>
      </w:pPr>
      <w:rPr/>
    </w:lvl>
    <w:lvl w:ilvl="1" w:tplc="04190019">
      <w:start w:val="1"/>
      <w:numFmt w:val="lowerLetter"/>
      <w:suff w:val="tab"/>
      <w:lvlText w:val="%2."/>
      <w:lvlJc w:val="left"/>
      <w:pPr>
        <w:ind w:hanging="360" w:left="1931"/>
      </w:pPr>
      <w:rPr/>
    </w:lvl>
    <w:lvl w:ilvl="2" w:tplc="0419001B">
      <w:start w:val="1"/>
      <w:numFmt w:val="lowerRoman"/>
      <w:suff w:val="tab"/>
      <w:lvlText w:val="%3."/>
      <w:lvlJc w:val="right"/>
      <w:pPr>
        <w:ind w:hanging="180" w:left="2651"/>
      </w:pPr>
      <w:rPr/>
    </w:lvl>
    <w:lvl w:ilvl="3" w:tplc="0419000F">
      <w:start w:val="1"/>
      <w:numFmt w:val="decimal"/>
      <w:suff w:val="tab"/>
      <w:lvlText w:val="%4."/>
      <w:lvlJc w:val="left"/>
      <w:pPr>
        <w:ind w:hanging="360" w:left="3371"/>
      </w:pPr>
      <w:rPr/>
    </w:lvl>
    <w:lvl w:ilvl="4" w:tplc="04190019">
      <w:start w:val="1"/>
      <w:numFmt w:val="lowerLetter"/>
      <w:suff w:val="tab"/>
      <w:lvlText w:val="%5."/>
      <w:lvlJc w:val="left"/>
      <w:pPr>
        <w:ind w:hanging="360" w:left="4091"/>
      </w:pPr>
      <w:rPr/>
    </w:lvl>
    <w:lvl w:ilvl="5" w:tplc="0419001B">
      <w:start w:val="1"/>
      <w:numFmt w:val="lowerRoman"/>
      <w:suff w:val="tab"/>
      <w:lvlText w:val="%6."/>
      <w:lvlJc w:val="right"/>
      <w:pPr>
        <w:ind w:hanging="180" w:left="4811"/>
      </w:pPr>
      <w:rPr/>
    </w:lvl>
    <w:lvl w:ilvl="6" w:tplc="0419000F">
      <w:start w:val="1"/>
      <w:numFmt w:val="decimal"/>
      <w:suff w:val="tab"/>
      <w:lvlText w:val="%7."/>
      <w:lvlJc w:val="left"/>
      <w:pPr>
        <w:ind w:hanging="360" w:left="5531"/>
      </w:pPr>
      <w:rPr/>
    </w:lvl>
    <w:lvl w:ilvl="7" w:tplc="04190019">
      <w:start w:val="1"/>
      <w:numFmt w:val="lowerLetter"/>
      <w:suff w:val="tab"/>
      <w:lvlText w:val="%8."/>
      <w:lvlJc w:val="left"/>
      <w:pPr>
        <w:ind w:hanging="360" w:left="6251"/>
      </w:pPr>
      <w:rPr/>
    </w:lvl>
    <w:lvl w:ilvl="8" w:tplc="0419001B">
      <w:start w:val="1"/>
      <w:numFmt w:val="lowerRoman"/>
      <w:suff w:val="tab"/>
      <w:lvlText w:val="%9."/>
      <w:lvlJc w:val="right"/>
      <w:pPr>
        <w:ind w:hanging="180" w:left="6971"/>
      </w:pPr>
      <w:rPr/>
    </w:lvl>
  </w:abstractNum>
  <w:abstractNum w:abstractNumId="10">
    <w:nsid w:val="2CFF7787"/>
    <w:multiLevelType w:val="multilevel"/>
    <w:lvl w:ilvl="0">
      <w:start w:val="1"/>
      <w:numFmt w:val="decimal"/>
      <w:suff w:val="tab"/>
      <w:lvlText w:val="%1."/>
      <w:lvlJc w:val="left"/>
      <w:pPr>
        <w:ind w:hanging="360" w:left="720"/>
      </w:pPr>
      <w:rPr>
        <w:b w:val="1"/>
        <w:i w:val="0"/>
      </w:rPr>
    </w:lvl>
    <w:lvl w:ilvl="1">
      <w:start w:val="1"/>
      <w:numFmt w:val="decimal"/>
      <w:isLgl w:val="1"/>
      <w:suff w:val="tab"/>
      <w:lvlText w:val="%1.%2."/>
      <w:lvlJc w:val="left"/>
      <w:pPr>
        <w:ind w:hanging="480" w:left="2891"/>
      </w:pPr>
      <w:rPr>
        <w:b w:val="0"/>
      </w:rPr>
    </w:lvl>
    <w:lvl w:ilvl="2">
      <w:start w:val="1"/>
      <w:numFmt w:val="decimal"/>
      <w:isLgl w:val="1"/>
      <w:suff w:val="tab"/>
      <w:lvlText w:val="%1.%2.%3."/>
      <w:lvlJc w:val="left"/>
      <w:pPr>
        <w:ind w:hanging="720" w:left="1430"/>
      </w:pPr>
      <w:rPr>
        <w:b w:val="0"/>
      </w:rPr>
    </w:lvl>
    <w:lvl w:ilvl="3">
      <w:start w:val="1"/>
      <w:numFmt w:val="decimal"/>
      <w:isLgl w:val="1"/>
      <w:suff w:val="tab"/>
      <w:lvlText w:val="%1.%2.%3.%4."/>
      <w:lvlJc w:val="left"/>
      <w:pPr>
        <w:ind w:hanging="720" w:left="1080"/>
      </w:pPr>
      <w:rPr>
        <w:b w:val="0"/>
      </w:rPr>
    </w:lvl>
    <w:lvl w:ilvl="4">
      <w:start w:val="1"/>
      <w:numFmt w:val="decimal"/>
      <w:isLgl w:val="1"/>
      <w:suff w:val="tab"/>
      <w:lvlText w:val="%1.%2.%3.%4.%5."/>
      <w:lvlJc w:val="left"/>
      <w:pPr>
        <w:ind w:hanging="1080" w:left="1440"/>
      </w:pPr>
      <w:rPr>
        <w:b w:val="0"/>
      </w:rPr>
    </w:lvl>
    <w:lvl w:ilvl="5">
      <w:start w:val="1"/>
      <w:numFmt w:val="decimal"/>
      <w:isLgl w:val="1"/>
      <w:suff w:val="tab"/>
      <w:lvlText w:val="%1.%2.%3.%4.%5.%6."/>
      <w:lvlJc w:val="left"/>
      <w:pPr>
        <w:ind w:hanging="1080" w:left="1440"/>
      </w:pPr>
      <w:rPr>
        <w:b w:val="0"/>
      </w:rPr>
    </w:lvl>
    <w:lvl w:ilvl="6">
      <w:start w:val="1"/>
      <w:numFmt w:val="decimal"/>
      <w:isLgl w:val="1"/>
      <w:suff w:val="tab"/>
      <w:lvlText w:val="%1.%2.%3.%4.%5.%6.%7."/>
      <w:lvlJc w:val="left"/>
      <w:pPr>
        <w:ind w:hanging="1440" w:left="1800"/>
      </w:pPr>
      <w:rPr>
        <w:b w:val="0"/>
      </w:rPr>
    </w:lvl>
    <w:lvl w:ilvl="7">
      <w:start w:val="1"/>
      <w:numFmt w:val="decimal"/>
      <w:isLgl w:val="1"/>
      <w:suff w:val="tab"/>
      <w:lvlText w:val="%1.%2.%3.%4.%5.%6.%7.%8."/>
      <w:lvlJc w:val="left"/>
      <w:pPr>
        <w:ind w:hanging="1440" w:left="1800"/>
      </w:pPr>
      <w:rPr>
        <w:b w:val="0"/>
      </w:rPr>
    </w:lvl>
    <w:lvl w:ilvl="8">
      <w:start w:val="1"/>
      <w:numFmt w:val="decimal"/>
      <w:isLgl w:val="1"/>
      <w:suff w:val="tab"/>
      <w:lvlText w:val="%1.%2.%3.%4.%5.%6.%7.%8.%9."/>
      <w:lvlJc w:val="left"/>
      <w:pPr>
        <w:ind w:hanging="1800" w:left="2160"/>
      </w:pPr>
      <w:rPr>
        <w:b w:val="0"/>
      </w:rPr>
    </w:lvl>
  </w:abstractNum>
  <w:abstractNum w:abstractNumId="11">
    <w:nsid w:val="2F30765A"/>
    <w:multiLevelType w:val="hybridMultilevel"/>
    <w:lvl w:ilvl="0" w:tplc="41E20656">
      <w:start w:val="1"/>
      <w:numFmt w:val="decimal"/>
      <w:suff w:val="tab"/>
      <w:lvlText w:val="%1)"/>
      <w:lvlJc w:val="left"/>
      <w:pPr>
        <w:ind w:hanging="555" w:left="1406"/>
      </w:pPr>
      <w:rPr/>
    </w:lvl>
    <w:lvl w:ilvl="1" w:tplc="04190019">
      <w:start w:val="1"/>
      <w:numFmt w:val="lowerLetter"/>
      <w:suff w:val="tab"/>
      <w:lvlText w:val="%2."/>
      <w:lvlJc w:val="left"/>
      <w:pPr>
        <w:ind w:hanging="360" w:left="1931"/>
      </w:pPr>
      <w:rPr/>
    </w:lvl>
    <w:lvl w:ilvl="2" w:tplc="0419001B">
      <w:start w:val="1"/>
      <w:numFmt w:val="lowerRoman"/>
      <w:suff w:val="tab"/>
      <w:lvlText w:val="%3."/>
      <w:lvlJc w:val="right"/>
      <w:pPr>
        <w:ind w:hanging="180" w:left="2651"/>
      </w:pPr>
      <w:rPr/>
    </w:lvl>
    <w:lvl w:ilvl="3" w:tplc="0419000F">
      <w:start w:val="1"/>
      <w:numFmt w:val="decimal"/>
      <w:suff w:val="tab"/>
      <w:lvlText w:val="%4."/>
      <w:lvlJc w:val="left"/>
      <w:pPr>
        <w:ind w:hanging="360" w:left="3371"/>
      </w:pPr>
      <w:rPr/>
    </w:lvl>
    <w:lvl w:ilvl="4" w:tplc="04190019">
      <w:start w:val="1"/>
      <w:numFmt w:val="lowerLetter"/>
      <w:suff w:val="tab"/>
      <w:lvlText w:val="%5."/>
      <w:lvlJc w:val="left"/>
      <w:pPr>
        <w:ind w:hanging="360" w:left="4091"/>
      </w:pPr>
      <w:rPr/>
    </w:lvl>
    <w:lvl w:ilvl="5" w:tplc="0419001B">
      <w:start w:val="1"/>
      <w:numFmt w:val="lowerRoman"/>
      <w:suff w:val="tab"/>
      <w:lvlText w:val="%6."/>
      <w:lvlJc w:val="right"/>
      <w:pPr>
        <w:ind w:hanging="180" w:left="4811"/>
      </w:pPr>
      <w:rPr/>
    </w:lvl>
    <w:lvl w:ilvl="6" w:tplc="0419000F">
      <w:start w:val="1"/>
      <w:numFmt w:val="decimal"/>
      <w:suff w:val="tab"/>
      <w:lvlText w:val="%7."/>
      <w:lvlJc w:val="left"/>
      <w:pPr>
        <w:ind w:hanging="360" w:left="5531"/>
      </w:pPr>
      <w:rPr/>
    </w:lvl>
    <w:lvl w:ilvl="7" w:tplc="04190019">
      <w:start w:val="1"/>
      <w:numFmt w:val="lowerLetter"/>
      <w:suff w:val="tab"/>
      <w:lvlText w:val="%8."/>
      <w:lvlJc w:val="left"/>
      <w:pPr>
        <w:ind w:hanging="360" w:left="6251"/>
      </w:pPr>
      <w:rPr/>
    </w:lvl>
    <w:lvl w:ilvl="8" w:tplc="0419001B">
      <w:start w:val="1"/>
      <w:numFmt w:val="lowerRoman"/>
      <w:suff w:val="tab"/>
      <w:lvlText w:val="%9."/>
      <w:lvlJc w:val="right"/>
      <w:pPr>
        <w:ind w:hanging="180" w:left="6971"/>
      </w:pPr>
      <w:rPr/>
    </w:lvl>
  </w:abstractNum>
  <w:abstractNum w:abstractNumId="12">
    <w:nsid w:val="322B6B83"/>
    <w:multiLevelType w:val="hybridMultilevel"/>
    <w:lvl w:ilvl="0" w:tplc="69CE7244">
      <w:start w:val="1"/>
      <w:numFmt w:val="decimal"/>
      <w:suff w:val="tab"/>
      <w:lvlText w:val="%1."/>
      <w:lvlJc w:val="left"/>
      <w:pPr>
        <w:ind w:hanging="360" w:left="1211"/>
      </w:pPr>
      <w:rPr/>
    </w:lvl>
    <w:lvl w:ilvl="1" w:tplc="04190019">
      <w:start w:val="1"/>
      <w:numFmt w:val="lowerLetter"/>
      <w:suff w:val="tab"/>
      <w:lvlText w:val="%2."/>
      <w:lvlJc w:val="left"/>
      <w:pPr>
        <w:ind w:hanging="360" w:left="1931"/>
      </w:pPr>
      <w:rPr/>
    </w:lvl>
    <w:lvl w:ilvl="2" w:tplc="0419001B">
      <w:start w:val="1"/>
      <w:numFmt w:val="lowerRoman"/>
      <w:suff w:val="tab"/>
      <w:lvlText w:val="%3."/>
      <w:lvlJc w:val="right"/>
      <w:pPr>
        <w:ind w:hanging="180" w:left="2651"/>
      </w:pPr>
      <w:rPr/>
    </w:lvl>
    <w:lvl w:ilvl="3" w:tplc="0419000F">
      <w:start w:val="1"/>
      <w:numFmt w:val="decimal"/>
      <w:suff w:val="tab"/>
      <w:lvlText w:val="%4."/>
      <w:lvlJc w:val="left"/>
      <w:pPr>
        <w:ind w:hanging="360" w:left="3371"/>
      </w:pPr>
      <w:rPr/>
    </w:lvl>
    <w:lvl w:ilvl="4" w:tplc="04190019">
      <w:start w:val="1"/>
      <w:numFmt w:val="lowerLetter"/>
      <w:suff w:val="tab"/>
      <w:lvlText w:val="%5."/>
      <w:lvlJc w:val="left"/>
      <w:pPr>
        <w:ind w:hanging="360" w:left="4091"/>
      </w:pPr>
      <w:rPr/>
    </w:lvl>
    <w:lvl w:ilvl="5" w:tplc="0419001B">
      <w:start w:val="1"/>
      <w:numFmt w:val="lowerRoman"/>
      <w:suff w:val="tab"/>
      <w:lvlText w:val="%6."/>
      <w:lvlJc w:val="right"/>
      <w:pPr>
        <w:ind w:hanging="180" w:left="4811"/>
      </w:pPr>
      <w:rPr/>
    </w:lvl>
    <w:lvl w:ilvl="6" w:tplc="0419000F">
      <w:start w:val="1"/>
      <w:numFmt w:val="decimal"/>
      <w:suff w:val="tab"/>
      <w:lvlText w:val="%7."/>
      <w:lvlJc w:val="left"/>
      <w:pPr>
        <w:ind w:hanging="360" w:left="5531"/>
      </w:pPr>
      <w:rPr/>
    </w:lvl>
    <w:lvl w:ilvl="7" w:tplc="04190019">
      <w:start w:val="1"/>
      <w:numFmt w:val="lowerLetter"/>
      <w:suff w:val="tab"/>
      <w:lvlText w:val="%8."/>
      <w:lvlJc w:val="left"/>
      <w:pPr>
        <w:ind w:hanging="360" w:left="6251"/>
      </w:pPr>
      <w:rPr/>
    </w:lvl>
    <w:lvl w:ilvl="8" w:tplc="0419001B">
      <w:start w:val="1"/>
      <w:numFmt w:val="lowerRoman"/>
      <w:suff w:val="tab"/>
      <w:lvlText w:val="%9."/>
      <w:lvlJc w:val="right"/>
      <w:pPr>
        <w:ind w:hanging="180" w:left="6971"/>
      </w:pPr>
      <w:rPr/>
    </w:lvl>
  </w:abstractNum>
  <w:abstractNum w:abstractNumId="13">
    <w:nsid w:val="36081C36"/>
    <w:multiLevelType w:val="hybridMultilevel"/>
    <w:lvl w:ilvl="0" w:tplc="0419000F">
      <w:start w:val="1"/>
      <w:numFmt w:val="decimal"/>
      <w:suff w:val="tab"/>
      <w:lvlText w:val="%1."/>
      <w:lvlJc w:val="left"/>
      <w:pPr>
        <w:ind w:hanging="360" w:left="720"/>
      </w:pPr>
      <w:rPr/>
    </w:lvl>
    <w:lvl w:ilvl="1" w:tplc="04190019">
      <w:start w:val="1"/>
      <w:numFmt w:val="lowerLetter"/>
      <w:suff w:val="tab"/>
      <w:lvlText w:val="%2."/>
      <w:lvlJc w:val="left"/>
      <w:pPr>
        <w:ind w:hanging="360" w:left="1440"/>
      </w:pPr>
      <w:rPr/>
    </w:lvl>
    <w:lvl w:ilvl="2" w:tplc="0419001B">
      <w:start w:val="1"/>
      <w:numFmt w:val="lowerRoman"/>
      <w:suff w:val="tab"/>
      <w:lvlText w:val="%3."/>
      <w:lvlJc w:val="right"/>
      <w:pPr>
        <w:ind w:hanging="180" w:left="2160"/>
      </w:pPr>
      <w:rPr/>
    </w:lvl>
    <w:lvl w:ilvl="3" w:tplc="0419000F">
      <w:start w:val="1"/>
      <w:numFmt w:val="decimal"/>
      <w:suff w:val="tab"/>
      <w:lvlText w:val="%4."/>
      <w:lvlJc w:val="left"/>
      <w:pPr>
        <w:ind w:hanging="360" w:left="2880"/>
      </w:pPr>
      <w:rPr/>
    </w:lvl>
    <w:lvl w:ilvl="4" w:tplc="04190019">
      <w:start w:val="1"/>
      <w:numFmt w:val="lowerLetter"/>
      <w:suff w:val="tab"/>
      <w:lvlText w:val="%5."/>
      <w:lvlJc w:val="left"/>
      <w:pPr>
        <w:ind w:hanging="360" w:left="3600"/>
      </w:pPr>
      <w:rPr/>
    </w:lvl>
    <w:lvl w:ilvl="5" w:tplc="0419001B">
      <w:start w:val="1"/>
      <w:numFmt w:val="lowerRoman"/>
      <w:suff w:val="tab"/>
      <w:lvlText w:val="%6."/>
      <w:lvlJc w:val="right"/>
      <w:pPr>
        <w:ind w:hanging="180" w:left="4320"/>
      </w:pPr>
      <w:rPr/>
    </w:lvl>
    <w:lvl w:ilvl="6" w:tplc="0419000F">
      <w:start w:val="1"/>
      <w:numFmt w:val="decimal"/>
      <w:suff w:val="tab"/>
      <w:lvlText w:val="%7."/>
      <w:lvlJc w:val="left"/>
      <w:pPr>
        <w:ind w:hanging="360" w:left="5040"/>
      </w:pPr>
      <w:rPr/>
    </w:lvl>
    <w:lvl w:ilvl="7" w:tplc="04190019">
      <w:start w:val="1"/>
      <w:numFmt w:val="lowerLetter"/>
      <w:suff w:val="tab"/>
      <w:lvlText w:val="%8."/>
      <w:lvlJc w:val="left"/>
      <w:pPr>
        <w:ind w:hanging="360" w:left="5760"/>
      </w:pPr>
      <w:rPr/>
    </w:lvl>
    <w:lvl w:ilvl="8" w:tplc="0419001B">
      <w:start w:val="1"/>
      <w:numFmt w:val="lowerRoman"/>
      <w:suff w:val="tab"/>
      <w:lvlText w:val="%9."/>
      <w:lvlJc w:val="right"/>
      <w:pPr>
        <w:ind w:hanging="180" w:left="6480"/>
      </w:pPr>
      <w:rPr/>
    </w:lvl>
  </w:abstractNum>
  <w:abstractNum w:abstractNumId="14">
    <w:nsid w:val="36371342"/>
    <w:multiLevelType w:val="hybridMultilevel"/>
    <w:lvl w:ilvl="0" w:tplc="17743C12">
      <w:start w:val="2"/>
      <w:numFmt w:val="decimal"/>
      <w:suff w:val="tab"/>
      <w:lvlText w:val="%1."/>
      <w:lvlJc w:val="left"/>
      <w:pPr>
        <w:ind w:hanging="360" w:left="1211"/>
      </w:pPr>
      <w:rPr/>
    </w:lvl>
    <w:lvl w:ilvl="1" w:tplc="04190019">
      <w:start w:val="1"/>
      <w:numFmt w:val="lowerLetter"/>
      <w:suff w:val="tab"/>
      <w:lvlText w:val="%2."/>
      <w:lvlJc w:val="left"/>
      <w:pPr>
        <w:ind w:hanging="360" w:left="1931"/>
      </w:pPr>
      <w:rPr/>
    </w:lvl>
    <w:lvl w:ilvl="2" w:tplc="0419001B">
      <w:start w:val="1"/>
      <w:numFmt w:val="lowerRoman"/>
      <w:suff w:val="tab"/>
      <w:lvlText w:val="%3."/>
      <w:lvlJc w:val="right"/>
      <w:pPr>
        <w:ind w:hanging="180" w:left="2651"/>
      </w:pPr>
      <w:rPr/>
    </w:lvl>
    <w:lvl w:ilvl="3" w:tplc="0419000F">
      <w:start w:val="1"/>
      <w:numFmt w:val="decimal"/>
      <w:suff w:val="tab"/>
      <w:lvlText w:val="%4."/>
      <w:lvlJc w:val="left"/>
      <w:pPr>
        <w:ind w:hanging="360" w:left="3371"/>
      </w:pPr>
      <w:rPr/>
    </w:lvl>
    <w:lvl w:ilvl="4" w:tplc="04190019">
      <w:start w:val="1"/>
      <w:numFmt w:val="lowerLetter"/>
      <w:suff w:val="tab"/>
      <w:lvlText w:val="%5."/>
      <w:lvlJc w:val="left"/>
      <w:pPr>
        <w:ind w:hanging="360" w:left="4091"/>
      </w:pPr>
      <w:rPr/>
    </w:lvl>
    <w:lvl w:ilvl="5" w:tplc="0419001B">
      <w:start w:val="1"/>
      <w:numFmt w:val="lowerRoman"/>
      <w:suff w:val="tab"/>
      <w:lvlText w:val="%6."/>
      <w:lvlJc w:val="right"/>
      <w:pPr>
        <w:ind w:hanging="180" w:left="4811"/>
      </w:pPr>
      <w:rPr/>
    </w:lvl>
    <w:lvl w:ilvl="6" w:tplc="0419000F">
      <w:start w:val="1"/>
      <w:numFmt w:val="decimal"/>
      <w:suff w:val="tab"/>
      <w:lvlText w:val="%7."/>
      <w:lvlJc w:val="left"/>
      <w:pPr>
        <w:ind w:hanging="360" w:left="5531"/>
      </w:pPr>
      <w:rPr/>
    </w:lvl>
    <w:lvl w:ilvl="7" w:tplc="04190019">
      <w:start w:val="1"/>
      <w:numFmt w:val="lowerLetter"/>
      <w:suff w:val="tab"/>
      <w:lvlText w:val="%8."/>
      <w:lvlJc w:val="left"/>
      <w:pPr>
        <w:ind w:hanging="360" w:left="6251"/>
      </w:pPr>
      <w:rPr/>
    </w:lvl>
    <w:lvl w:ilvl="8" w:tplc="0419001B">
      <w:start w:val="1"/>
      <w:numFmt w:val="lowerRoman"/>
      <w:suff w:val="tab"/>
      <w:lvlText w:val="%9."/>
      <w:lvlJc w:val="right"/>
      <w:pPr>
        <w:ind w:hanging="180" w:left="6971"/>
      </w:pPr>
      <w:rPr/>
    </w:lvl>
  </w:abstractNum>
  <w:abstractNum w:abstractNumId="15">
    <w:nsid w:val="39C1530D"/>
    <w:multiLevelType w:val="multilevel"/>
    <w:lvl w:ilvl="0">
      <w:start w:val="1"/>
      <w:numFmt w:val="decimal"/>
      <w:suff w:val="tab"/>
      <w:lvlText w:val="%1."/>
      <w:lvlJc w:val="left"/>
      <w:pPr>
        <w:ind w:hanging="360" w:left="720"/>
      </w:pPr>
      <w:rPr/>
    </w:lvl>
    <w:lvl w:ilvl="1">
      <w:start w:val="1"/>
      <w:numFmt w:val="decimal"/>
      <w:suff w:val="tab"/>
      <w:lvlText w:val="%2."/>
      <w:lvlJc w:val="left"/>
      <w:pPr>
        <w:ind w:hanging="360" w:left="1440"/>
      </w:pPr>
      <w:rPr/>
    </w:lvl>
    <w:lvl w:ilvl="2">
      <w:start w:val="1"/>
      <w:numFmt w:val="decimal"/>
      <w:suff w:val="tab"/>
      <w:lvlText w:val="%3."/>
      <w:lvlJc w:val="left"/>
      <w:pPr>
        <w:ind w:hanging="360" w:left="2160"/>
      </w:pPr>
      <w:rPr/>
    </w:lvl>
    <w:lvl w:ilvl="3">
      <w:start w:val="1"/>
      <w:numFmt w:val="decimal"/>
      <w:suff w:val="tab"/>
      <w:lvlText w:val="%4."/>
      <w:lvlJc w:val="left"/>
      <w:pPr>
        <w:ind w:hanging="360" w:left="2880"/>
      </w:pPr>
      <w:rPr/>
    </w:lvl>
    <w:lvl w:ilvl="4">
      <w:start w:val="1"/>
      <w:numFmt w:val="decimal"/>
      <w:suff w:val="tab"/>
      <w:lvlText w:val="%5."/>
      <w:lvlJc w:val="left"/>
      <w:pPr>
        <w:ind w:hanging="360" w:left="3600"/>
      </w:pPr>
      <w:rPr/>
    </w:lvl>
    <w:lvl w:ilvl="5">
      <w:start w:val="1"/>
      <w:numFmt w:val="decimal"/>
      <w:suff w:val="tab"/>
      <w:lvlText w:val="%6."/>
      <w:lvlJc w:val="left"/>
      <w:pPr>
        <w:ind w:hanging="360" w:left="4320"/>
      </w:pPr>
      <w:rPr/>
    </w:lvl>
    <w:lvl w:ilvl="6">
      <w:start w:val="1"/>
      <w:numFmt w:val="decimal"/>
      <w:suff w:val="tab"/>
      <w:lvlText w:val="%7."/>
      <w:lvlJc w:val="left"/>
      <w:pPr>
        <w:ind w:hanging="360" w:left="5040"/>
      </w:pPr>
      <w:rPr/>
    </w:lvl>
    <w:lvl w:ilvl="7">
      <w:start w:val="1"/>
      <w:numFmt w:val="decimal"/>
      <w:suff w:val="tab"/>
      <w:lvlText w:val="%8."/>
      <w:lvlJc w:val="left"/>
      <w:pPr>
        <w:ind w:hanging="360" w:left="5760"/>
      </w:pPr>
      <w:rPr/>
    </w:lvl>
    <w:lvl w:ilvl="8">
      <w:start w:val="1"/>
      <w:numFmt w:val="decimal"/>
      <w:suff w:val="tab"/>
      <w:lvlText w:val="%9."/>
      <w:lvlJc w:val="left"/>
      <w:pPr>
        <w:ind w:hanging="360" w:left="6480"/>
      </w:pPr>
      <w:rPr/>
    </w:lvl>
  </w:abstractNum>
  <w:abstractNum w:abstractNumId="16">
    <w:nsid w:val="45006018"/>
    <w:multiLevelType w:val="hybridMultilevel"/>
    <w:lvl w:ilvl="0" w:tplc="FA8C6610">
      <w:start w:val="1"/>
      <w:numFmt w:val="decimal"/>
      <w:suff w:val="tab"/>
      <w:lvlText w:val="%1."/>
      <w:lvlJc w:val="left"/>
      <w:pPr>
        <w:ind w:hanging="360" w:left="1211"/>
      </w:pPr>
      <w:rPr/>
    </w:lvl>
    <w:lvl w:ilvl="1" w:tplc="04190019">
      <w:start w:val="1"/>
      <w:numFmt w:val="lowerLetter"/>
      <w:suff w:val="tab"/>
      <w:lvlText w:val="%2."/>
      <w:lvlJc w:val="left"/>
      <w:pPr>
        <w:ind w:hanging="360" w:left="1931"/>
      </w:pPr>
      <w:rPr/>
    </w:lvl>
    <w:lvl w:ilvl="2" w:tplc="0419001B">
      <w:start w:val="1"/>
      <w:numFmt w:val="lowerRoman"/>
      <w:suff w:val="tab"/>
      <w:lvlText w:val="%3."/>
      <w:lvlJc w:val="right"/>
      <w:pPr>
        <w:ind w:hanging="180" w:left="2651"/>
      </w:pPr>
      <w:rPr/>
    </w:lvl>
    <w:lvl w:ilvl="3" w:tplc="0419000F">
      <w:start w:val="1"/>
      <w:numFmt w:val="decimal"/>
      <w:suff w:val="tab"/>
      <w:lvlText w:val="%4."/>
      <w:lvlJc w:val="left"/>
      <w:pPr>
        <w:ind w:hanging="360" w:left="3371"/>
      </w:pPr>
      <w:rPr/>
    </w:lvl>
    <w:lvl w:ilvl="4" w:tplc="04190019">
      <w:start w:val="1"/>
      <w:numFmt w:val="lowerLetter"/>
      <w:suff w:val="tab"/>
      <w:lvlText w:val="%5."/>
      <w:lvlJc w:val="left"/>
      <w:pPr>
        <w:ind w:hanging="360" w:left="4091"/>
      </w:pPr>
      <w:rPr/>
    </w:lvl>
    <w:lvl w:ilvl="5" w:tplc="0419001B">
      <w:start w:val="1"/>
      <w:numFmt w:val="lowerRoman"/>
      <w:suff w:val="tab"/>
      <w:lvlText w:val="%6."/>
      <w:lvlJc w:val="right"/>
      <w:pPr>
        <w:ind w:hanging="180" w:left="4811"/>
      </w:pPr>
      <w:rPr/>
    </w:lvl>
    <w:lvl w:ilvl="6" w:tplc="0419000F">
      <w:start w:val="1"/>
      <w:numFmt w:val="decimal"/>
      <w:suff w:val="tab"/>
      <w:lvlText w:val="%7."/>
      <w:lvlJc w:val="left"/>
      <w:pPr>
        <w:ind w:hanging="360" w:left="5531"/>
      </w:pPr>
      <w:rPr/>
    </w:lvl>
    <w:lvl w:ilvl="7" w:tplc="04190019">
      <w:start w:val="1"/>
      <w:numFmt w:val="lowerLetter"/>
      <w:suff w:val="tab"/>
      <w:lvlText w:val="%8."/>
      <w:lvlJc w:val="left"/>
      <w:pPr>
        <w:ind w:hanging="360" w:left="6251"/>
      </w:pPr>
      <w:rPr/>
    </w:lvl>
    <w:lvl w:ilvl="8" w:tplc="0419001B">
      <w:start w:val="1"/>
      <w:numFmt w:val="lowerRoman"/>
      <w:suff w:val="tab"/>
      <w:lvlText w:val="%9."/>
      <w:lvlJc w:val="right"/>
      <w:pPr>
        <w:ind w:hanging="180" w:left="6971"/>
      </w:pPr>
      <w:rPr/>
    </w:lvl>
  </w:abstractNum>
  <w:abstractNum w:abstractNumId="17">
    <w:nsid w:val="4811090B"/>
    <w:multiLevelType w:val="hybridMultilevel"/>
    <w:lvl w:ilvl="0" w:tplc="04190011">
      <w:start w:val="1"/>
      <w:numFmt w:val="decimal"/>
      <w:suff w:val="tab"/>
      <w:lvlText w:val="%1)"/>
      <w:lvlJc w:val="left"/>
      <w:pPr>
        <w:ind w:hanging="360" w:left="720"/>
      </w:pPr>
      <w:rPr/>
    </w:lvl>
    <w:lvl w:ilvl="1" w:tplc="04190019">
      <w:start w:val="1"/>
      <w:numFmt w:val="lowerLetter"/>
      <w:suff w:val="tab"/>
      <w:lvlText w:val="%2."/>
      <w:lvlJc w:val="left"/>
      <w:pPr>
        <w:ind w:hanging="360" w:left="1440"/>
      </w:pPr>
      <w:rPr/>
    </w:lvl>
    <w:lvl w:ilvl="2" w:tplc="0419001B">
      <w:start w:val="1"/>
      <w:numFmt w:val="lowerRoman"/>
      <w:suff w:val="tab"/>
      <w:lvlText w:val="%3."/>
      <w:lvlJc w:val="right"/>
      <w:pPr>
        <w:ind w:hanging="180" w:left="2160"/>
      </w:pPr>
      <w:rPr/>
    </w:lvl>
    <w:lvl w:ilvl="3" w:tplc="0419000F">
      <w:start w:val="1"/>
      <w:numFmt w:val="decimal"/>
      <w:suff w:val="tab"/>
      <w:lvlText w:val="%4."/>
      <w:lvlJc w:val="left"/>
      <w:pPr>
        <w:ind w:hanging="360" w:left="2880"/>
      </w:pPr>
      <w:rPr/>
    </w:lvl>
    <w:lvl w:ilvl="4" w:tplc="04190019">
      <w:start w:val="1"/>
      <w:numFmt w:val="lowerLetter"/>
      <w:suff w:val="tab"/>
      <w:lvlText w:val="%5."/>
      <w:lvlJc w:val="left"/>
      <w:pPr>
        <w:ind w:hanging="360" w:left="3600"/>
      </w:pPr>
      <w:rPr/>
    </w:lvl>
    <w:lvl w:ilvl="5" w:tplc="0419001B">
      <w:start w:val="1"/>
      <w:numFmt w:val="lowerRoman"/>
      <w:suff w:val="tab"/>
      <w:lvlText w:val="%6."/>
      <w:lvlJc w:val="right"/>
      <w:pPr>
        <w:ind w:hanging="180" w:left="4320"/>
      </w:pPr>
      <w:rPr/>
    </w:lvl>
    <w:lvl w:ilvl="6" w:tplc="0419000F">
      <w:start w:val="1"/>
      <w:numFmt w:val="decimal"/>
      <w:suff w:val="tab"/>
      <w:lvlText w:val="%7."/>
      <w:lvlJc w:val="left"/>
      <w:pPr>
        <w:ind w:hanging="360" w:left="5040"/>
      </w:pPr>
      <w:rPr/>
    </w:lvl>
    <w:lvl w:ilvl="7" w:tplc="04190019">
      <w:start w:val="1"/>
      <w:numFmt w:val="lowerLetter"/>
      <w:suff w:val="tab"/>
      <w:lvlText w:val="%8."/>
      <w:lvlJc w:val="left"/>
      <w:pPr>
        <w:ind w:hanging="360" w:left="5760"/>
      </w:pPr>
      <w:rPr/>
    </w:lvl>
    <w:lvl w:ilvl="8" w:tplc="0419001B">
      <w:start w:val="1"/>
      <w:numFmt w:val="lowerRoman"/>
      <w:suff w:val="tab"/>
      <w:lvlText w:val="%9."/>
      <w:lvlJc w:val="right"/>
      <w:pPr>
        <w:ind w:hanging="180" w:left="6480"/>
      </w:pPr>
      <w:rPr/>
    </w:lvl>
  </w:abstractNum>
  <w:abstractNum w:abstractNumId="18">
    <w:nsid w:val="4E1F4DCC"/>
    <w:multiLevelType w:val="hybridMultilevel"/>
    <w:lvl w:ilvl="0" w:tplc="0419000F">
      <w:start w:val="1"/>
      <w:numFmt w:val="decimal"/>
      <w:suff w:val="tab"/>
      <w:lvlText w:val="%1."/>
      <w:lvlJc w:val="left"/>
      <w:pPr>
        <w:ind w:hanging="360" w:left="1571"/>
      </w:pPr>
      <w:rPr/>
    </w:lvl>
    <w:lvl w:ilvl="1" w:tplc="04190019">
      <w:start w:val="1"/>
      <w:numFmt w:val="lowerLetter"/>
      <w:suff w:val="tab"/>
      <w:lvlText w:val="%2."/>
      <w:lvlJc w:val="left"/>
      <w:pPr>
        <w:ind w:hanging="360" w:left="2291"/>
      </w:pPr>
      <w:rPr/>
    </w:lvl>
    <w:lvl w:ilvl="2" w:tplc="0419001B">
      <w:start w:val="1"/>
      <w:numFmt w:val="lowerRoman"/>
      <w:suff w:val="tab"/>
      <w:lvlText w:val="%3."/>
      <w:lvlJc w:val="right"/>
      <w:pPr>
        <w:ind w:hanging="180" w:left="3011"/>
      </w:pPr>
      <w:rPr/>
    </w:lvl>
    <w:lvl w:ilvl="3" w:tplc="0419000F">
      <w:start w:val="1"/>
      <w:numFmt w:val="decimal"/>
      <w:suff w:val="tab"/>
      <w:lvlText w:val="%4."/>
      <w:lvlJc w:val="left"/>
      <w:pPr>
        <w:ind w:hanging="360" w:left="3731"/>
      </w:pPr>
      <w:rPr/>
    </w:lvl>
    <w:lvl w:ilvl="4" w:tplc="04190019">
      <w:start w:val="1"/>
      <w:numFmt w:val="lowerLetter"/>
      <w:suff w:val="tab"/>
      <w:lvlText w:val="%5."/>
      <w:lvlJc w:val="left"/>
      <w:pPr>
        <w:ind w:hanging="360" w:left="4451"/>
      </w:pPr>
      <w:rPr/>
    </w:lvl>
    <w:lvl w:ilvl="5" w:tplc="0419001B">
      <w:start w:val="1"/>
      <w:numFmt w:val="lowerRoman"/>
      <w:suff w:val="tab"/>
      <w:lvlText w:val="%6."/>
      <w:lvlJc w:val="right"/>
      <w:pPr>
        <w:ind w:hanging="180" w:left="5171"/>
      </w:pPr>
      <w:rPr/>
    </w:lvl>
    <w:lvl w:ilvl="6" w:tplc="0419000F">
      <w:start w:val="1"/>
      <w:numFmt w:val="decimal"/>
      <w:suff w:val="tab"/>
      <w:lvlText w:val="%7."/>
      <w:lvlJc w:val="left"/>
      <w:pPr>
        <w:ind w:hanging="360" w:left="5891"/>
      </w:pPr>
      <w:rPr/>
    </w:lvl>
    <w:lvl w:ilvl="7" w:tplc="04190019">
      <w:start w:val="1"/>
      <w:numFmt w:val="lowerLetter"/>
      <w:suff w:val="tab"/>
      <w:lvlText w:val="%8."/>
      <w:lvlJc w:val="left"/>
      <w:pPr>
        <w:ind w:hanging="360" w:left="6611"/>
      </w:pPr>
      <w:rPr/>
    </w:lvl>
    <w:lvl w:ilvl="8" w:tplc="0419001B">
      <w:start w:val="1"/>
      <w:numFmt w:val="lowerRoman"/>
      <w:suff w:val="tab"/>
      <w:lvlText w:val="%9."/>
      <w:lvlJc w:val="right"/>
      <w:pPr>
        <w:ind w:hanging="180" w:left="7331"/>
      </w:pPr>
      <w:rPr/>
    </w:lvl>
  </w:abstractNum>
  <w:abstractNum w:abstractNumId="19">
    <w:nsid w:val="4F0F80B4"/>
    <w:multiLevelType w:val="hybridMultilevel"/>
    <w:lvl w:ilvl="0" w:tplc="D1B6CEB4">
      <w:start w:val="1"/>
      <w:numFmt w:val="decimal"/>
      <w:suff w:val="tab"/>
      <w:lvlText w:val="%1)"/>
      <w:lvlJc w:val="left"/>
      <w:pPr>
        <w:ind w:hanging="360" w:left="786"/>
      </w:pPr>
      <w:rPr>
        <w:color w:val="000000"/>
        <w:sz w:val="28"/>
      </w:rPr>
    </w:lvl>
    <w:lvl w:ilvl="1" w:tplc="04190019">
      <w:start w:val="1"/>
      <w:numFmt w:val="lowerLetter"/>
      <w:suff w:val="tab"/>
      <w:lvlText w:val="%2."/>
      <w:lvlJc w:val="left"/>
      <w:pPr>
        <w:ind w:hanging="360" w:left="1506"/>
      </w:pPr>
      <w:rPr>
        <w:color w:val="000000"/>
      </w:rPr>
    </w:lvl>
    <w:lvl w:ilvl="2" w:tplc="0419001B">
      <w:start w:val="1"/>
      <w:numFmt w:val="lowerRoman"/>
      <w:suff w:val="tab"/>
      <w:lvlText w:val="%3."/>
      <w:lvlJc w:val="right"/>
      <w:pPr>
        <w:ind w:hanging="180" w:left="2226"/>
      </w:pPr>
      <w:rPr>
        <w:color w:val="000000"/>
      </w:rPr>
    </w:lvl>
    <w:lvl w:ilvl="3" w:tplc="D1B6CEB4">
      <w:start w:val="1"/>
      <w:numFmt w:val="decimal"/>
      <w:suff w:val="tab"/>
      <w:lvlText w:val="%4."/>
      <w:lvlJc w:val="left"/>
      <w:pPr>
        <w:ind w:hanging="360" w:left="2946"/>
      </w:pPr>
      <w:rPr>
        <w:color w:val="000000"/>
      </w:rPr>
    </w:lvl>
    <w:lvl w:ilvl="4" w:tplc="04190019">
      <w:start w:val="1"/>
      <w:numFmt w:val="lowerLetter"/>
      <w:suff w:val="tab"/>
      <w:lvlText w:val="%5."/>
      <w:lvlJc w:val="left"/>
      <w:pPr>
        <w:ind w:hanging="360" w:left="3666"/>
      </w:pPr>
      <w:rPr>
        <w:color w:val="000000"/>
      </w:rPr>
    </w:lvl>
    <w:lvl w:ilvl="5" w:tplc="0419001B">
      <w:start w:val="1"/>
      <w:numFmt w:val="lowerRoman"/>
      <w:suff w:val="tab"/>
      <w:lvlText w:val="%6."/>
      <w:lvlJc w:val="right"/>
      <w:pPr>
        <w:ind w:hanging="180" w:left="4386"/>
      </w:pPr>
      <w:rPr>
        <w:color w:val="000000"/>
      </w:rPr>
    </w:lvl>
    <w:lvl w:ilvl="6" w:tplc="D1B6CEB4">
      <w:start w:val="1"/>
      <w:numFmt w:val="decimal"/>
      <w:suff w:val="tab"/>
      <w:lvlText w:val="%7."/>
      <w:lvlJc w:val="left"/>
      <w:pPr>
        <w:ind w:hanging="360" w:left="5106"/>
      </w:pPr>
      <w:rPr>
        <w:color w:val="000000"/>
      </w:rPr>
    </w:lvl>
    <w:lvl w:ilvl="7" w:tplc="04190019">
      <w:start w:val="1"/>
      <w:numFmt w:val="lowerLetter"/>
      <w:suff w:val="tab"/>
      <w:lvlText w:val="%8."/>
      <w:lvlJc w:val="left"/>
      <w:pPr>
        <w:ind w:hanging="360" w:left="5826"/>
      </w:pPr>
      <w:rPr>
        <w:color w:val="000000"/>
      </w:rPr>
    </w:lvl>
    <w:lvl w:ilvl="8" w:tplc="0419001B">
      <w:start w:val="1"/>
      <w:numFmt w:val="lowerRoman"/>
      <w:suff w:val="tab"/>
      <w:lvlText w:val="%9."/>
      <w:lvlJc w:val="right"/>
      <w:pPr>
        <w:ind w:hanging="180" w:left="6546"/>
      </w:pPr>
      <w:rPr>
        <w:color w:val="000000"/>
      </w:rPr>
    </w:lvl>
  </w:abstractNum>
  <w:abstractNum w:abstractNumId="20">
    <w:nsid w:val="54451569"/>
    <w:multiLevelType w:val="hybridMultilevel"/>
    <w:lvl w:ilvl="0" w:tplc="92821536">
      <w:start w:val="2"/>
      <w:numFmt w:val="decimal"/>
      <w:suff w:val="tab"/>
      <w:lvlText w:val="%1."/>
      <w:lvlJc w:val="left"/>
      <w:pPr>
        <w:ind w:hanging="360" w:left="1216"/>
      </w:pPr>
      <w:rPr/>
    </w:lvl>
    <w:lvl w:ilvl="1" w:tplc="04190019">
      <w:start w:val="1"/>
      <w:numFmt w:val="lowerLetter"/>
      <w:suff w:val="tab"/>
      <w:lvlText w:val="%2."/>
      <w:lvlJc w:val="left"/>
      <w:pPr>
        <w:ind w:hanging="360" w:left="1936"/>
      </w:pPr>
      <w:rPr/>
    </w:lvl>
    <w:lvl w:ilvl="2" w:tplc="0419001B">
      <w:start w:val="1"/>
      <w:numFmt w:val="lowerRoman"/>
      <w:suff w:val="tab"/>
      <w:lvlText w:val="%3."/>
      <w:lvlJc w:val="right"/>
      <w:pPr>
        <w:ind w:hanging="180" w:left="2656"/>
      </w:pPr>
      <w:rPr/>
    </w:lvl>
    <w:lvl w:ilvl="3" w:tplc="0419000F">
      <w:start w:val="1"/>
      <w:numFmt w:val="decimal"/>
      <w:suff w:val="tab"/>
      <w:lvlText w:val="%4."/>
      <w:lvlJc w:val="left"/>
      <w:pPr>
        <w:ind w:hanging="360" w:left="3376"/>
      </w:pPr>
      <w:rPr/>
    </w:lvl>
    <w:lvl w:ilvl="4" w:tplc="04190019">
      <w:start w:val="1"/>
      <w:numFmt w:val="lowerLetter"/>
      <w:suff w:val="tab"/>
      <w:lvlText w:val="%5."/>
      <w:lvlJc w:val="left"/>
      <w:pPr>
        <w:ind w:hanging="360" w:left="4096"/>
      </w:pPr>
      <w:rPr/>
    </w:lvl>
    <w:lvl w:ilvl="5" w:tplc="0419001B">
      <w:start w:val="1"/>
      <w:numFmt w:val="lowerRoman"/>
      <w:suff w:val="tab"/>
      <w:lvlText w:val="%6."/>
      <w:lvlJc w:val="right"/>
      <w:pPr>
        <w:ind w:hanging="180" w:left="4816"/>
      </w:pPr>
      <w:rPr/>
    </w:lvl>
    <w:lvl w:ilvl="6" w:tplc="0419000F">
      <w:start w:val="1"/>
      <w:numFmt w:val="decimal"/>
      <w:suff w:val="tab"/>
      <w:lvlText w:val="%7."/>
      <w:lvlJc w:val="left"/>
      <w:pPr>
        <w:ind w:hanging="360" w:left="5536"/>
      </w:pPr>
      <w:rPr/>
    </w:lvl>
    <w:lvl w:ilvl="7" w:tplc="04190019">
      <w:start w:val="1"/>
      <w:numFmt w:val="lowerLetter"/>
      <w:suff w:val="tab"/>
      <w:lvlText w:val="%8."/>
      <w:lvlJc w:val="left"/>
      <w:pPr>
        <w:ind w:hanging="360" w:left="6256"/>
      </w:pPr>
      <w:rPr/>
    </w:lvl>
    <w:lvl w:ilvl="8" w:tplc="0419001B">
      <w:start w:val="1"/>
      <w:numFmt w:val="lowerRoman"/>
      <w:suff w:val="tab"/>
      <w:lvlText w:val="%9."/>
      <w:lvlJc w:val="right"/>
      <w:pPr>
        <w:ind w:hanging="180" w:left="6976"/>
      </w:pPr>
      <w:rPr/>
    </w:lvl>
  </w:abstractNum>
  <w:abstractNum w:abstractNumId="21">
    <w:nsid w:val="55625055"/>
    <w:multiLevelType w:val="hybridMultilevel"/>
    <w:lvl w:ilvl="0" w:tplc="0DC6E458">
      <w:start w:val="1"/>
      <w:numFmt w:val="decimal"/>
      <w:suff w:val="tab"/>
      <w:lvlText w:val="%1)"/>
      <w:lvlJc w:val="left"/>
      <w:pPr>
        <w:ind w:hanging="360" w:left="1216"/>
      </w:pPr>
      <w:rPr/>
    </w:lvl>
    <w:lvl w:ilvl="1" w:tplc="04190019">
      <w:start w:val="1"/>
      <w:numFmt w:val="lowerLetter"/>
      <w:suff w:val="tab"/>
      <w:lvlText w:val="%2."/>
      <w:lvlJc w:val="left"/>
      <w:pPr>
        <w:ind w:hanging="360" w:left="1936"/>
      </w:pPr>
      <w:rPr/>
    </w:lvl>
    <w:lvl w:ilvl="2" w:tplc="0419001B">
      <w:start w:val="1"/>
      <w:numFmt w:val="lowerRoman"/>
      <w:suff w:val="tab"/>
      <w:lvlText w:val="%3."/>
      <w:lvlJc w:val="right"/>
      <w:pPr>
        <w:ind w:hanging="180" w:left="2656"/>
      </w:pPr>
      <w:rPr/>
    </w:lvl>
    <w:lvl w:ilvl="3" w:tplc="0419000F">
      <w:start w:val="1"/>
      <w:numFmt w:val="decimal"/>
      <w:suff w:val="tab"/>
      <w:lvlText w:val="%4."/>
      <w:lvlJc w:val="left"/>
      <w:pPr>
        <w:ind w:hanging="360" w:left="3376"/>
      </w:pPr>
      <w:rPr/>
    </w:lvl>
    <w:lvl w:ilvl="4" w:tplc="04190019">
      <w:start w:val="1"/>
      <w:numFmt w:val="lowerLetter"/>
      <w:suff w:val="tab"/>
      <w:lvlText w:val="%5."/>
      <w:lvlJc w:val="left"/>
      <w:pPr>
        <w:ind w:hanging="360" w:left="4096"/>
      </w:pPr>
      <w:rPr/>
    </w:lvl>
    <w:lvl w:ilvl="5" w:tplc="0419001B">
      <w:start w:val="1"/>
      <w:numFmt w:val="lowerRoman"/>
      <w:suff w:val="tab"/>
      <w:lvlText w:val="%6."/>
      <w:lvlJc w:val="right"/>
      <w:pPr>
        <w:ind w:hanging="180" w:left="4816"/>
      </w:pPr>
      <w:rPr/>
    </w:lvl>
    <w:lvl w:ilvl="6" w:tplc="0419000F">
      <w:start w:val="1"/>
      <w:numFmt w:val="decimal"/>
      <w:suff w:val="tab"/>
      <w:lvlText w:val="%7."/>
      <w:lvlJc w:val="left"/>
      <w:pPr>
        <w:ind w:hanging="360" w:left="5536"/>
      </w:pPr>
      <w:rPr/>
    </w:lvl>
    <w:lvl w:ilvl="7" w:tplc="04190019">
      <w:start w:val="1"/>
      <w:numFmt w:val="lowerLetter"/>
      <w:suff w:val="tab"/>
      <w:lvlText w:val="%8."/>
      <w:lvlJc w:val="left"/>
      <w:pPr>
        <w:ind w:hanging="360" w:left="6256"/>
      </w:pPr>
      <w:rPr/>
    </w:lvl>
    <w:lvl w:ilvl="8" w:tplc="0419001B">
      <w:start w:val="1"/>
      <w:numFmt w:val="lowerRoman"/>
      <w:suff w:val="tab"/>
      <w:lvlText w:val="%9."/>
      <w:lvlJc w:val="right"/>
      <w:pPr>
        <w:ind w:hanging="180" w:left="6976"/>
      </w:pPr>
      <w:rPr/>
    </w:lvl>
  </w:abstractNum>
  <w:abstractNum w:abstractNumId="22">
    <w:nsid w:val="62051F71"/>
    <w:multiLevelType w:val="hybridMultilevel"/>
    <w:lvl w:ilvl="0" w:tplc="9C840788">
      <w:start w:val="1"/>
      <w:numFmt w:val="decimal"/>
      <w:suff w:val="tab"/>
      <w:lvlText w:val="%1."/>
      <w:lvlJc w:val="left"/>
      <w:pPr>
        <w:ind w:hanging="390" w:left="1100"/>
      </w:pPr>
      <w:rPr/>
    </w:lvl>
    <w:lvl w:ilvl="1" w:tplc="04190019">
      <w:start w:val="1"/>
      <w:numFmt w:val="lowerLetter"/>
      <w:suff w:val="tab"/>
      <w:lvlText w:val="%2."/>
      <w:lvlJc w:val="left"/>
      <w:pPr>
        <w:ind w:hanging="360" w:left="1931"/>
      </w:pPr>
      <w:rPr/>
    </w:lvl>
    <w:lvl w:ilvl="2" w:tplc="0419001B">
      <w:start w:val="1"/>
      <w:numFmt w:val="lowerRoman"/>
      <w:suff w:val="tab"/>
      <w:lvlText w:val="%3."/>
      <w:lvlJc w:val="right"/>
      <w:pPr>
        <w:ind w:hanging="180" w:left="2651"/>
      </w:pPr>
      <w:rPr/>
    </w:lvl>
    <w:lvl w:ilvl="3" w:tplc="0419000F">
      <w:start w:val="1"/>
      <w:numFmt w:val="decimal"/>
      <w:suff w:val="tab"/>
      <w:lvlText w:val="%4."/>
      <w:lvlJc w:val="left"/>
      <w:pPr>
        <w:ind w:hanging="360" w:left="3371"/>
      </w:pPr>
      <w:rPr/>
    </w:lvl>
    <w:lvl w:ilvl="4" w:tplc="04190019">
      <w:start w:val="1"/>
      <w:numFmt w:val="lowerLetter"/>
      <w:suff w:val="tab"/>
      <w:lvlText w:val="%5."/>
      <w:lvlJc w:val="left"/>
      <w:pPr>
        <w:ind w:hanging="360" w:left="4091"/>
      </w:pPr>
      <w:rPr/>
    </w:lvl>
    <w:lvl w:ilvl="5" w:tplc="0419001B">
      <w:start w:val="1"/>
      <w:numFmt w:val="lowerRoman"/>
      <w:suff w:val="tab"/>
      <w:lvlText w:val="%6."/>
      <w:lvlJc w:val="right"/>
      <w:pPr>
        <w:ind w:hanging="180" w:left="4811"/>
      </w:pPr>
      <w:rPr/>
    </w:lvl>
    <w:lvl w:ilvl="6" w:tplc="0419000F">
      <w:start w:val="1"/>
      <w:numFmt w:val="decimal"/>
      <w:suff w:val="tab"/>
      <w:lvlText w:val="%7."/>
      <w:lvlJc w:val="left"/>
      <w:pPr>
        <w:ind w:hanging="360" w:left="5531"/>
      </w:pPr>
      <w:rPr/>
    </w:lvl>
    <w:lvl w:ilvl="7" w:tplc="04190019">
      <w:start w:val="1"/>
      <w:numFmt w:val="lowerLetter"/>
      <w:suff w:val="tab"/>
      <w:lvlText w:val="%8."/>
      <w:lvlJc w:val="left"/>
      <w:pPr>
        <w:ind w:hanging="360" w:left="6251"/>
      </w:pPr>
      <w:rPr/>
    </w:lvl>
    <w:lvl w:ilvl="8" w:tplc="0419001B">
      <w:start w:val="1"/>
      <w:numFmt w:val="lowerRoman"/>
      <w:suff w:val="tab"/>
      <w:lvlText w:val="%9."/>
      <w:lvlJc w:val="right"/>
      <w:pPr>
        <w:ind w:hanging="180" w:left="6971"/>
      </w:pPr>
      <w:rPr/>
    </w:lvl>
  </w:abstractNum>
  <w:abstractNum w:abstractNumId="23">
    <w:nsid w:val="661B787B"/>
    <w:multiLevelType w:val="hybridMultilevel"/>
    <w:lvl w:ilvl="0" w:tplc="04AC7362">
      <w:start w:val="1"/>
      <w:numFmt w:val="decimal"/>
      <w:suff w:val="tab"/>
      <w:lvlText w:val="%1."/>
      <w:lvlJc w:val="left"/>
      <w:pPr>
        <w:ind w:hanging="360" w:left="1216"/>
      </w:pPr>
      <w:rPr/>
    </w:lvl>
    <w:lvl w:ilvl="1" w:tplc="04190019">
      <w:start w:val="1"/>
      <w:numFmt w:val="lowerLetter"/>
      <w:suff w:val="tab"/>
      <w:lvlText w:val="%2."/>
      <w:lvlJc w:val="left"/>
      <w:pPr>
        <w:ind w:hanging="360" w:left="1936"/>
      </w:pPr>
      <w:rPr/>
    </w:lvl>
    <w:lvl w:ilvl="2" w:tplc="0419001B">
      <w:start w:val="1"/>
      <w:numFmt w:val="lowerRoman"/>
      <w:suff w:val="tab"/>
      <w:lvlText w:val="%3."/>
      <w:lvlJc w:val="right"/>
      <w:pPr>
        <w:ind w:hanging="180" w:left="2656"/>
      </w:pPr>
      <w:rPr/>
    </w:lvl>
    <w:lvl w:ilvl="3" w:tplc="0419000F">
      <w:start w:val="1"/>
      <w:numFmt w:val="decimal"/>
      <w:suff w:val="tab"/>
      <w:lvlText w:val="%4."/>
      <w:lvlJc w:val="left"/>
      <w:pPr>
        <w:ind w:hanging="360" w:left="3376"/>
      </w:pPr>
      <w:rPr/>
    </w:lvl>
    <w:lvl w:ilvl="4" w:tplc="04190019">
      <w:start w:val="1"/>
      <w:numFmt w:val="lowerLetter"/>
      <w:suff w:val="tab"/>
      <w:lvlText w:val="%5."/>
      <w:lvlJc w:val="left"/>
      <w:pPr>
        <w:ind w:hanging="360" w:left="4096"/>
      </w:pPr>
      <w:rPr/>
    </w:lvl>
    <w:lvl w:ilvl="5" w:tplc="0419001B">
      <w:start w:val="1"/>
      <w:numFmt w:val="lowerRoman"/>
      <w:suff w:val="tab"/>
      <w:lvlText w:val="%6."/>
      <w:lvlJc w:val="right"/>
      <w:pPr>
        <w:ind w:hanging="180" w:left="4816"/>
      </w:pPr>
      <w:rPr/>
    </w:lvl>
    <w:lvl w:ilvl="6" w:tplc="0419000F">
      <w:start w:val="1"/>
      <w:numFmt w:val="decimal"/>
      <w:suff w:val="tab"/>
      <w:lvlText w:val="%7."/>
      <w:lvlJc w:val="left"/>
      <w:pPr>
        <w:ind w:hanging="360" w:left="5536"/>
      </w:pPr>
      <w:rPr/>
    </w:lvl>
    <w:lvl w:ilvl="7" w:tplc="04190019">
      <w:start w:val="1"/>
      <w:numFmt w:val="lowerLetter"/>
      <w:suff w:val="tab"/>
      <w:lvlText w:val="%8."/>
      <w:lvlJc w:val="left"/>
      <w:pPr>
        <w:ind w:hanging="360" w:left="6256"/>
      </w:pPr>
      <w:rPr/>
    </w:lvl>
    <w:lvl w:ilvl="8" w:tplc="0419001B">
      <w:start w:val="1"/>
      <w:numFmt w:val="lowerRoman"/>
      <w:suff w:val="tab"/>
      <w:lvlText w:val="%9."/>
      <w:lvlJc w:val="right"/>
      <w:pPr>
        <w:ind w:hanging="180" w:left="6976"/>
      </w:pPr>
      <w:rPr/>
    </w:lvl>
  </w:abstractNum>
  <w:abstractNum w:abstractNumId="24">
    <w:nsid w:val="6A731C10"/>
    <w:multiLevelType w:val="hybridMultilevel"/>
    <w:lvl w:ilvl="0" w:tplc="98A0D636">
      <w:start w:val="1"/>
      <w:numFmt w:val="decimal"/>
      <w:suff w:val="tab"/>
      <w:lvlText w:val="%1."/>
      <w:lvlJc w:val="left"/>
      <w:pPr>
        <w:ind w:hanging="360" w:left="1070"/>
      </w:pPr>
      <w:rPr/>
    </w:lvl>
    <w:lvl w:ilvl="1" w:tplc="04190019">
      <w:start w:val="1"/>
      <w:numFmt w:val="lowerLetter"/>
      <w:suff w:val="tab"/>
      <w:lvlText w:val="%2."/>
      <w:lvlJc w:val="left"/>
      <w:pPr>
        <w:ind w:hanging="360" w:left="1936"/>
      </w:pPr>
      <w:rPr/>
    </w:lvl>
    <w:lvl w:ilvl="2" w:tplc="0419001B">
      <w:start w:val="1"/>
      <w:numFmt w:val="lowerRoman"/>
      <w:suff w:val="tab"/>
      <w:lvlText w:val="%3."/>
      <w:lvlJc w:val="right"/>
      <w:pPr>
        <w:ind w:hanging="180" w:left="2656"/>
      </w:pPr>
      <w:rPr/>
    </w:lvl>
    <w:lvl w:ilvl="3" w:tplc="0419000F">
      <w:start w:val="1"/>
      <w:numFmt w:val="decimal"/>
      <w:suff w:val="tab"/>
      <w:lvlText w:val="%4."/>
      <w:lvlJc w:val="left"/>
      <w:pPr>
        <w:ind w:hanging="360" w:left="3376"/>
      </w:pPr>
      <w:rPr/>
    </w:lvl>
    <w:lvl w:ilvl="4" w:tplc="04190019">
      <w:start w:val="1"/>
      <w:numFmt w:val="lowerLetter"/>
      <w:suff w:val="tab"/>
      <w:lvlText w:val="%5."/>
      <w:lvlJc w:val="left"/>
      <w:pPr>
        <w:ind w:hanging="360" w:left="4096"/>
      </w:pPr>
      <w:rPr/>
    </w:lvl>
    <w:lvl w:ilvl="5" w:tplc="0419001B">
      <w:start w:val="1"/>
      <w:numFmt w:val="lowerRoman"/>
      <w:suff w:val="tab"/>
      <w:lvlText w:val="%6."/>
      <w:lvlJc w:val="right"/>
      <w:pPr>
        <w:ind w:hanging="180" w:left="4816"/>
      </w:pPr>
      <w:rPr/>
    </w:lvl>
    <w:lvl w:ilvl="6" w:tplc="0419000F">
      <w:start w:val="1"/>
      <w:numFmt w:val="decimal"/>
      <w:suff w:val="tab"/>
      <w:lvlText w:val="%7."/>
      <w:lvlJc w:val="left"/>
      <w:pPr>
        <w:ind w:hanging="360" w:left="5536"/>
      </w:pPr>
      <w:rPr/>
    </w:lvl>
    <w:lvl w:ilvl="7" w:tplc="04190019">
      <w:start w:val="1"/>
      <w:numFmt w:val="lowerLetter"/>
      <w:suff w:val="tab"/>
      <w:lvlText w:val="%8."/>
      <w:lvlJc w:val="left"/>
      <w:pPr>
        <w:ind w:hanging="360" w:left="6256"/>
      </w:pPr>
      <w:rPr/>
    </w:lvl>
    <w:lvl w:ilvl="8" w:tplc="0419001B">
      <w:start w:val="1"/>
      <w:numFmt w:val="lowerRoman"/>
      <w:suff w:val="tab"/>
      <w:lvlText w:val="%9."/>
      <w:lvlJc w:val="right"/>
      <w:pPr>
        <w:ind w:hanging="180" w:left="6976"/>
      </w:pPr>
      <w:rPr/>
    </w:lvl>
  </w:abstractNum>
  <w:abstractNum w:abstractNumId="25">
    <w:nsid w:val="6EC012BF"/>
    <w:multiLevelType w:val="hybridMultilevel"/>
    <w:lvl w:ilvl="0" w:tplc="539850FE">
      <w:start w:val="1"/>
      <w:numFmt w:val="decimal"/>
      <w:suff w:val="tab"/>
      <w:lvlText w:val="%1."/>
      <w:lvlJc w:val="left"/>
      <w:pPr>
        <w:ind w:hanging="360" w:left="1216"/>
      </w:pPr>
      <w:rPr>
        <w:color w:val="000000"/>
      </w:rPr>
    </w:lvl>
    <w:lvl w:ilvl="1" w:tplc="04190019">
      <w:start w:val="1"/>
      <w:numFmt w:val="lowerLetter"/>
      <w:suff w:val="tab"/>
      <w:lvlText w:val="%2."/>
      <w:lvlJc w:val="left"/>
      <w:pPr>
        <w:ind w:hanging="360" w:left="1936"/>
      </w:pPr>
      <w:rPr/>
    </w:lvl>
    <w:lvl w:ilvl="2" w:tplc="0419001B">
      <w:start w:val="1"/>
      <w:numFmt w:val="lowerRoman"/>
      <w:suff w:val="tab"/>
      <w:lvlText w:val="%3."/>
      <w:lvlJc w:val="right"/>
      <w:pPr>
        <w:ind w:hanging="180" w:left="2656"/>
      </w:pPr>
      <w:rPr/>
    </w:lvl>
    <w:lvl w:ilvl="3" w:tplc="0419000F">
      <w:start w:val="1"/>
      <w:numFmt w:val="decimal"/>
      <w:suff w:val="tab"/>
      <w:lvlText w:val="%4."/>
      <w:lvlJc w:val="left"/>
      <w:pPr>
        <w:ind w:hanging="360" w:left="3376"/>
      </w:pPr>
      <w:rPr/>
    </w:lvl>
    <w:lvl w:ilvl="4" w:tplc="04190019">
      <w:start w:val="1"/>
      <w:numFmt w:val="lowerLetter"/>
      <w:suff w:val="tab"/>
      <w:lvlText w:val="%5."/>
      <w:lvlJc w:val="left"/>
      <w:pPr>
        <w:ind w:hanging="360" w:left="4096"/>
      </w:pPr>
      <w:rPr/>
    </w:lvl>
    <w:lvl w:ilvl="5" w:tplc="0419001B">
      <w:start w:val="1"/>
      <w:numFmt w:val="lowerRoman"/>
      <w:suff w:val="tab"/>
      <w:lvlText w:val="%6."/>
      <w:lvlJc w:val="right"/>
      <w:pPr>
        <w:ind w:hanging="180" w:left="4816"/>
      </w:pPr>
      <w:rPr/>
    </w:lvl>
    <w:lvl w:ilvl="6" w:tplc="0419000F">
      <w:start w:val="1"/>
      <w:numFmt w:val="decimal"/>
      <w:suff w:val="tab"/>
      <w:lvlText w:val="%7."/>
      <w:lvlJc w:val="left"/>
      <w:pPr>
        <w:ind w:hanging="360" w:left="5536"/>
      </w:pPr>
      <w:rPr/>
    </w:lvl>
    <w:lvl w:ilvl="7" w:tplc="04190019">
      <w:start w:val="1"/>
      <w:numFmt w:val="lowerLetter"/>
      <w:suff w:val="tab"/>
      <w:lvlText w:val="%8."/>
      <w:lvlJc w:val="left"/>
      <w:pPr>
        <w:ind w:hanging="360" w:left="6256"/>
      </w:pPr>
      <w:rPr/>
    </w:lvl>
    <w:lvl w:ilvl="8" w:tplc="0419001B">
      <w:start w:val="1"/>
      <w:numFmt w:val="lowerRoman"/>
      <w:suff w:val="tab"/>
      <w:lvlText w:val="%9."/>
      <w:lvlJc w:val="right"/>
      <w:pPr>
        <w:ind w:hanging="180" w:left="6976"/>
      </w:pPr>
      <w:rPr/>
    </w:lvl>
  </w:abstractNum>
  <w:abstractNum w:abstractNumId="26">
    <w:nsid w:val="733920FD"/>
    <w:multiLevelType w:val="multilevel"/>
    <w:lvl w:ilvl="0">
      <w:start w:val="1"/>
      <w:numFmt w:val="decimal"/>
      <w:suff w:val="tab"/>
      <w:lvlText w:val="%1."/>
      <w:lvlJc w:val="left"/>
      <w:pPr>
        <w:ind w:hanging="360" w:left="720"/>
      </w:pPr>
      <w:rPr/>
    </w:lvl>
    <w:lvl w:ilvl="1">
      <w:start w:val="1"/>
      <w:numFmt w:val="decimal"/>
      <w:suff w:val="tab"/>
      <w:lvlText w:val="%2."/>
      <w:lvlJc w:val="left"/>
      <w:pPr>
        <w:ind w:hanging="360" w:left="1440"/>
      </w:pPr>
      <w:rPr/>
    </w:lvl>
    <w:lvl w:ilvl="2">
      <w:start w:val="2"/>
      <w:numFmt w:val="decimal"/>
      <w:suff w:val="tab"/>
      <w:lvlText w:val="%3."/>
      <w:lvlJc w:val="left"/>
      <w:pPr>
        <w:ind w:hanging="360" w:left="2160"/>
      </w:pPr>
      <w:rPr/>
    </w:lvl>
    <w:lvl w:ilvl="3">
      <w:start w:val="1"/>
      <w:numFmt w:val="decimal"/>
      <w:suff w:val="tab"/>
      <w:lvlText w:val="%4."/>
      <w:lvlJc w:val="left"/>
      <w:pPr>
        <w:ind w:hanging="360" w:left="2880"/>
      </w:pPr>
      <w:rPr/>
    </w:lvl>
    <w:lvl w:ilvl="4">
      <w:start w:val="1"/>
      <w:numFmt w:val="decimal"/>
      <w:suff w:val="tab"/>
      <w:lvlText w:val="%5."/>
      <w:lvlJc w:val="left"/>
      <w:pPr>
        <w:ind w:hanging="360" w:left="3600"/>
      </w:pPr>
      <w:rPr/>
    </w:lvl>
    <w:lvl w:ilvl="5">
      <w:start w:val="1"/>
      <w:numFmt w:val="decimal"/>
      <w:suff w:val="tab"/>
      <w:lvlText w:val="%6."/>
      <w:lvlJc w:val="left"/>
      <w:pPr>
        <w:ind w:hanging="360" w:left="4320"/>
      </w:pPr>
      <w:rPr/>
    </w:lvl>
    <w:lvl w:ilvl="6">
      <w:start w:val="1"/>
      <w:numFmt w:val="decimal"/>
      <w:suff w:val="tab"/>
      <w:lvlText w:val="%7."/>
      <w:lvlJc w:val="left"/>
      <w:pPr>
        <w:ind w:hanging="360" w:left="5040"/>
      </w:pPr>
      <w:rPr/>
    </w:lvl>
    <w:lvl w:ilvl="7">
      <w:start w:val="1"/>
      <w:numFmt w:val="decimal"/>
      <w:suff w:val="tab"/>
      <w:lvlText w:val="%8."/>
      <w:lvlJc w:val="left"/>
      <w:pPr>
        <w:ind w:hanging="360" w:left="5760"/>
      </w:pPr>
      <w:rPr/>
    </w:lvl>
    <w:lvl w:ilvl="8">
      <w:start w:val="1"/>
      <w:numFmt w:val="decimal"/>
      <w:suff w:val="tab"/>
      <w:lvlText w:val="%9."/>
      <w:lvlJc w:val="left"/>
      <w:pPr>
        <w:ind w:hanging="360" w:left="6480"/>
      </w:pPr>
      <w:rPr/>
    </w:lvl>
  </w:abstractNum>
  <w:abstractNum w:abstractNumId="27">
    <w:nsid w:val="768B745E"/>
    <w:multiLevelType w:val="hybridMultilevel"/>
    <w:lvl w:ilvl="0" w:tplc="0419000F">
      <w:start w:val="1"/>
      <w:numFmt w:val="decimal"/>
      <w:suff w:val="tab"/>
      <w:lvlText w:val="%1."/>
      <w:lvlJc w:val="left"/>
      <w:pPr>
        <w:ind w:hanging="360" w:left="1571"/>
      </w:pPr>
      <w:rPr/>
    </w:lvl>
    <w:lvl w:ilvl="1" w:tplc="04190019">
      <w:start w:val="1"/>
      <w:numFmt w:val="lowerLetter"/>
      <w:suff w:val="tab"/>
      <w:lvlText w:val="%2."/>
      <w:lvlJc w:val="left"/>
      <w:pPr>
        <w:ind w:hanging="360" w:left="2291"/>
      </w:pPr>
      <w:rPr/>
    </w:lvl>
    <w:lvl w:ilvl="2" w:tplc="0419001B">
      <w:start w:val="1"/>
      <w:numFmt w:val="lowerRoman"/>
      <w:suff w:val="tab"/>
      <w:lvlText w:val="%3."/>
      <w:lvlJc w:val="right"/>
      <w:pPr>
        <w:ind w:hanging="180" w:left="3011"/>
      </w:pPr>
      <w:rPr/>
    </w:lvl>
    <w:lvl w:ilvl="3" w:tplc="0419000F">
      <w:start w:val="1"/>
      <w:numFmt w:val="decimal"/>
      <w:suff w:val="tab"/>
      <w:lvlText w:val="%4."/>
      <w:lvlJc w:val="left"/>
      <w:pPr>
        <w:ind w:hanging="360" w:left="3731"/>
      </w:pPr>
      <w:rPr/>
    </w:lvl>
    <w:lvl w:ilvl="4" w:tplc="04190019">
      <w:start w:val="1"/>
      <w:numFmt w:val="lowerLetter"/>
      <w:suff w:val="tab"/>
      <w:lvlText w:val="%5."/>
      <w:lvlJc w:val="left"/>
      <w:pPr>
        <w:ind w:hanging="360" w:left="4451"/>
      </w:pPr>
      <w:rPr/>
    </w:lvl>
    <w:lvl w:ilvl="5" w:tplc="0419001B">
      <w:start w:val="1"/>
      <w:numFmt w:val="lowerRoman"/>
      <w:suff w:val="tab"/>
      <w:lvlText w:val="%6."/>
      <w:lvlJc w:val="right"/>
      <w:pPr>
        <w:ind w:hanging="180" w:left="5171"/>
      </w:pPr>
      <w:rPr/>
    </w:lvl>
    <w:lvl w:ilvl="6" w:tplc="0419000F">
      <w:start w:val="1"/>
      <w:numFmt w:val="decimal"/>
      <w:suff w:val="tab"/>
      <w:lvlText w:val="%7."/>
      <w:lvlJc w:val="left"/>
      <w:pPr>
        <w:ind w:hanging="360" w:left="5891"/>
      </w:pPr>
      <w:rPr/>
    </w:lvl>
    <w:lvl w:ilvl="7" w:tplc="04190019">
      <w:start w:val="1"/>
      <w:numFmt w:val="lowerLetter"/>
      <w:suff w:val="tab"/>
      <w:lvlText w:val="%8."/>
      <w:lvlJc w:val="left"/>
      <w:pPr>
        <w:ind w:hanging="360" w:left="6611"/>
      </w:pPr>
      <w:rPr/>
    </w:lvl>
    <w:lvl w:ilvl="8" w:tplc="0419001B">
      <w:start w:val="1"/>
      <w:numFmt w:val="lowerRoman"/>
      <w:suff w:val="tab"/>
      <w:lvlText w:val="%9."/>
      <w:lvlJc w:val="right"/>
      <w:pPr>
        <w:ind w:hanging="180" w:left="7331"/>
      </w:pPr>
      <w:rPr/>
    </w:lvl>
  </w:abstractNum>
  <w:abstractNum w:abstractNumId="28">
    <w:nsid w:val="7B2625F8"/>
    <w:multiLevelType w:val="hybridMultilevel"/>
    <w:lvl w:ilvl="0" w:tplc="73BC7F70">
      <w:start w:val="1"/>
      <w:numFmt w:val="decimal"/>
      <w:suff w:val="tab"/>
      <w:lvlText w:val="%1."/>
      <w:lvlJc w:val="left"/>
      <w:pPr>
        <w:ind w:hanging="360" w:left="1215"/>
      </w:pPr>
      <w:rPr>
        <w:color w:val="000000"/>
      </w:rPr>
    </w:lvl>
    <w:lvl w:ilvl="1" w:tplc="04190019">
      <w:start w:val="1"/>
      <w:numFmt w:val="lowerLetter"/>
      <w:suff w:val="tab"/>
      <w:lvlText w:val="%2."/>
      <w:lvlJc w:val="left"/>
      <w:pPr>
        <w:ind w:hanging="360" w:left="1935"/>
      </w:pPr>
      <w:rPr/>
    </w:lvl>
    <w:lvl w:ilvl="2" w:tplc="0419001B">
      <w:start w:val="1"/>
      <w:numFmt w:val="lowerRoman"/>
      <w:suff w:val="tab"/>
      <w:lvlText w:val="%3."/>
      <w:lvlJc w:val="right"/>
      <w:pPr>
        <w:ind w:hanging="180" w:left="2655"/>
      </w:pPr>
      <w:rPr/>
    </w:lvl>
    <w:lvl w:ilvl="3" w:tplc="0419000F">
      <w:start w:val="1"/>
      <w:numFmt w:val="decimal"/>
      <w:suff w:val="tab"/>
      <w:lvlText w:val="%4."/>
      <w:lvlJc w:val="left"/>
      <w:pPr>
        <w:ind w:hanging="360" w:left="3375"/>
      </w:pPr>
      <w:rPr/>
    </w:lvl>
    <w:lvl w:ilvl="4" w:tplc="04190019">
      <w:start w:val="1"/>
      <w:numFmt w:val="lowerLetter"/>
      <w:suff w:val="tab"/>
      <w:lvlText w:val="%5."/>
      <w:lvlJc w:val="left"/>
      <w:pPr>
        <w:ind w:hanging="360" w:left="4095"/>
      </w:pPr>
      <w:rPr/>
    </w:lvl>
    <w:lvl w:ilvl="5" w:tplc="0419001B">
      <w:start w:val="1"/>
      <w:numFmt w:val="lowerRoman"/>
      <w:suff w:val="tab"/>
      <w:lvlText w:val="%6."/>
      <w:lvlJc w:val="right"/>
      <w:pPr>
        <w:ind w:hanging="180" w:left="4815"/>
      </w:pPr>
      <w:rPr/>
    </w:lvl>
    <w:lvl w:ilvl="6" w:tplc="0419000F">
      <w:start w:val="1"/>
      <w:numFmt w:val="decimal"/>
      <w:suff w:val="tab"/>
      <w:lvlText w:val="%7."/>
      <w:lvlJc w:val="left"/>
      <w:pPr>
        <w:ind w:hanging="360" w:left="5535"/>
      </w:pPr>
      <w:rPr/>
    </w:lvl>
    <w:lvl w:ilvl="7" w:tplc="04190019">
      <w:start w:val="1"/>
      <w:numFmt w:val="lowerLetter"/>
      <w:suff w:val="tab"/>
      <w:lvlText w:val="%8."/>
      <w:lvlJc w:val="left"/>
      <w:pPr>
        <w:ind w:hanging="360" w:left="6255"/>
      </w:pPr>
      <w:rPr/>
    </w:lvl>
    <w:lvl w:ilvl="8" w:tplc="0419001B">
      <w:start w:val="1"/>
      <w:numFmt w:val="lowerRoman"/>
      <w:suff w:val="tab"/>
      <w:lvlText w:val="%9."/>
      <w:lvlJc w:val="right"/>
      <w:pPr>
        <w:ind w:hanging="180" w:left="6975"/>
      </w:pPr>
      <w:rPr/>
    </w:lvl>
  </w:abstractNum>
  <w:abstractNum w:abstractNumId="29">
    <w:nsid w:val="7E95787E"/>
    <w:multiLevelType w:val="multilevel"/>
    <w:lvl w:ilvl="0">
      <w:start w:val="1"/>
      <w:numFmt w:val="decimal"/>
      <w:suff w:val="tab"/>
      <w:lvlText w:val="%1."/>
      <w:lvlJc w:val="left"/>
      <w:pPr>
        <w:ind w:hanging="360" w:left="720"/>
      </w:pPr>
      <w:rPr/>
    </w:lvl>
    <w:lvl w:ilvl="1">
      <w:start w:val="1"/>
      <w:numFmt w:val="decimal"/>
      <w:suff w:val="tab"/>
      <w:lvlText w:val="%2."/>
      <w:lvlJc w:val="left"/>
      <w:pPr>
        <w:ind w:hanging="360" w:left="1440"/>
      </w:pPr>
      <w:rPr/>
    </w:lvl>
    <w:lvl w:ilvl="2">
      <w:start w:val="1"/>
      <w:numFmt w:val="decimal"/>
      <w:suff w:val="tab"/>
      <w:lvlText w:val="%3."/>
      <w:lvlJc w:val="left"/>
      <w:pPr>
        <w:ind w:hanging="360" w:left="2160"/>
      </w:pPr>
      <w:rPr/>
    </w:lvl>
    <w:lvl w:ilvl="3">
      <w:start w:val="1"/>
      <w:numFmt w:val="decimal"/>
      <w:suff w:val="tab"/>
      <w:lvlText w:val="%4."/>
      <w:lvlJc w:val="left"/>
      <w:pPr>
        <w:ind w:hanging="360" w:left="2880"/>
      </w:pPr>
      <w:rPr/>
    </w:lvl>
    <w:lvl w:ilvl="4">
      <w:start w:val="1"/>
      <w:numFmt w:val="decimal"/>
      <w:suff w:val="tab"/>
      <w:lvlText w:val="%5."/>
      <w:lvlJc w:val="left"/>
      <w:pPr>
        <w:ind w:hanging="360" w:left="3600"/>
      </w:pPr>
      <w:rPr/>
    </w:lvl>
    <w:lvl w:ilvl="5">
      <w:start w:val="1"/>
      <w:numFmt w:val="decimal"/>
      <w:suff w:val="tab"/>
      <w:lvlText w:val="%6."/>
      <w:lvlJc w:val="left"/>
      <w:pPr>
        <w:ind w:hanging="360" w:left="4320"/>
      </w:pPr>
      <w:rPr/>
    </w:lvl>
    <w:lvl w:ilvl="6">
      <w:start w:val="1"/>
      <w:numFmt w:val="decimal"/>
      <w:suff w:val="tab"/>
      <w:lvlText w:val="%7."/>
      <w:lvlJc w:val="left"/>
      <w:pPr>
        <w:ind w:hanging="360" w:left="5040"/>
      </w:pPr>
      <w:rPr/>
    </w:lvl>
    <w:lvl w:ilvl="7">
      <w:start w:val="1"/>
      <w:numFmt w:val="decimal"/>
      <w:suff w:val="tab"/>
      <w:lvlText w:val="%8."/>
      <w:lvlJc w:val="left"/>
      <w:pPr>
        <w:ind w:hanging="360" w:left="5760"/>
      </w:pPr>
      <w:rPr/>
    </w:lvl>
    <w:lvl w:ilvl="8">
      <w:start w:val="1"/>
      <w:numFmt w:val="decimal"/>
      <w:suff w:val="tab"/>
      <w:lvlText w:val="%9."/>
      <w:lvlJc w:val="left"/>
      <w:pPr>
        <w:ind w:hanging="360" w:left="6480"/>
      </w:pPr>
      <w:rPr/>
    </w:lvl>
  </w:abstractNum>
  <w:abstractNum w:abstractNumId="30">
    <w:nsid w:val="7F00734D"/>
    <w:multiLevelType w:val="hybridMultilevel"/>
    <w:lvl w:ilvl="0" w:tplc="0419000F">
      <w:start w:val="1"/>
      <w:numFmt w:val="decimal"/>
      <w:suff w:val="tab"/>
      <w:lvlText w:val="%1."/>
      <w:lvlJc w:val="left"/>
      <w:pPr>
        <w:ind w:hanging="360" w:left="720"/>
      </w:pPr>
      <w:rPr/>
    </w:lvl>
    <w:lvl w:ilvl="1" w:tplc="04190019">
      <w:start w:val="1"/>
      <w:numFmt w:val="lowerLetter"/>
      <w:suff w:val="tab"/>
      <w:lvlText w:val="%2."/>
      <w:lvlJc w:val="left"/>
      <w:pPr>
        <w:ind w:hanging="360" w:left="1440"/>
      </w:pPr>
      <w:rPr/>
    </w:lvl>
    <w:lvl w:ilvl="2" w:tplc="EAA0C048">
      <w:start w:val="1"/>
      <w:numFmt w:val="decimal"/>
      <w:suff w:val="tab"/>
      <w:lvlText w:val="%3)"/>
      <w:lvlJc w:val="left"/>
      <w:pPr>
        <w:ind w:hanging="450" w:left="2430"/>
      </w:pPr>
      <w:rPr/>
    </w:lvl>
    <w:lvl w:ilvl="3" w:tplc="0419000F">
      <w:start w:val="1"/>
      <w:numFmt w:val="decimal"/>
      <w:suff w:val="tab"/>
      <w:lvlText w:val="%4."/>
      <w:lvlJc w:val="left"/>
      <w:pPr>
        <w:ind w:hanging="360" w:left="2880"/>
      </w:pPr>
      <w:rPr/>
    </w:lvl>
    <w:lvl w:ilvl="4" w:tplc="04190019">
      <w:start w:val="1"/>
      <w:numFmt w:val="lowerLetter"/>
      <w:suff w:val="tab"/>
      <w:lvlText w:val="%5."/>
      <w:lvlJc w:val="left"/>
      <w:pPr>
        <w:ind w:hanging="360" w:left="3600"/>
      </w:pPr>
      <w:rPr/>
    </w:lvl>
    <w:lvl w:ilvl="5" w:tplc="0419001B">
      <w:start w:val="1"/>
      <w:numFmt w:val="lowerRoman"/>
      <w:suff w:val="tab"/>
      <w:lvlText w:val="%6."/>
      <w:lvlJc w:val="right"/>
      <w:pPr>
        <w:ind w:hanging="180" w:left="4320"/>
      </w:pPr>
      <w:rPr/>
    </w:lvl>
    <w:lvl w:ilvl="6" w:tplc="0419000F">
      <w:start w:val="1"/>
      <w:numFmt w:val="decimal"/>
      <w:suff w:val="tab"/>
      <w:lvlText w:val="%7."/>
      <w:lvlJc w:val="left"/>
      <w:pPr>
        <w:ind w:hanging="360" w:left="5040"/>
      </w:pPr>
      <w:rPr/>
    </w:lvl>
    <w:lvl w:ilvl="7" w:tplc="04190019">
      <w:start w:val="1"/>
      <w:numFmt w:val="lowerLetter"/>
      <w:suff w:val="tab"/>
      <w:lvlText w:val="%8."/>
      <w:lvlJc w:val="left"/>
      <w:pPr>
        <w:ind w:hanging="360" w:left="5760"/>
      </w:pPr>
      <w:rPr/>
    </w:lvl>
    <w:lvl w:ilvl="8" w:tplc="0419001B">
      <w:start w:val="1"/>
      <w:numFmt w:val="lowerRoman"/>
      <w:suff w:val="tab"/>
      <w:lvlText w:val="%9."/>
      <w:lvlJc w:val="right"/>
      <w:pPr>
        <w:ind w:hanging="180" w:left="6480"/>
      </w:pPr>
      <w:rPr/>
    </w:lvl>
  </w:abstractNum>
  <w:abstractNum w:abstractNumId="31">
    <w:nsid w:val="7F053DED"/>
    <w:multiLevelType w:val="hybridMultilevel"/>
    <w:lvl w:ilvl="0" w:tplc="F350FFE2">
      <w:start w:val="1"/>
      <w:numFmt w:val="decimal"/>
      <w:suff w:val="tab"/>
      <w:lvlText w:val="%1."/>
      <w:lvlJc w:val="left"/>
      <w:pPr>
        <w:ind w:hanging="450" w:left="1159"/>
      </w:pPr>
      <w:rPr>
        <w:rFonts w:ascii="Times New Roman" w:hAnsi="Times New Roman"/>
      </w:rPr>
    </w:lvl>
    <w:lvl w:ilvl="1" w:tplc="04190019">
      <w:start w:val="1"/>
      <w:numFmt w:val="lowerLetter"/>
      <w:suff w:val="tab"/>
      <w:lvlText w:val="%2."/>
      <w:lvlJc w:val="left"/>
      <w:pPr>
        <w:ind w:hanging="360" w:left="1789"/>
      </w:pPr>
      <w:rPr/>
    </w:lvl>
    <w:lvl w:ilvl="2" w:tplc="0419001B">
      <w:start w:val="1"/>
      <w:numFmt w:val="lowerRoman"/>
      <w:suff w:val="tab"/>
      <w:lvlText w:val="%3."/>
      <w:lvlJc w:val="right"/>
      <w:pPr>
        <w:ind w:hanging="180" w:left="2509"/>
      </w:pPr>
      <w:rPr/>
    </w:lvl>
    <w:lvl w:ilvl="3" w:tplc="0419000F">
      <w:start w:val="1"/>
      <w:numFmt w:val="decimal"/>
      <w:suff w:val="tab"/>
      <w:lvlText w:val="%4."/>
      <w:lvlJc w:val="left"/>
      <w:pPr>
        <w:ind w:hanging="360" w:left="3229"/>
      </w:pPr>
      <w:rPr/>
    </w:lvl>
    <w:lvl w:ilvl="4" w:tplc="04190019">
      <w:start w:val="1"/>
      <w:numFmt w:val="lowerLetter"/>
      <w:suff w:val="tab"/>
      <w:lvlText w:val="%5."/>
      <w:lvlJc w:val="left"/>
      <w:pPr>
        <w:ind w:hanging="360" w:left="3949"/>
      </w:pPr>
      <w:rPr/>
    </w:lvl>
    <w:lvl w:ilvl="5" w:tplc="0419001B">
      <w:start w:val="1"/>
      <w:numFmt w:val="lowerRoman"/>
      <w:suff w:val="tab"/>
      <w:lvlText w:val="%6."/>
      <w:lvlJc w:val="right"/>
      <w:pPr>
        <w:ind w:hanging="180" w:left="4669"/>
      </w:pPr>
      <w:rPr/>
    </w:lvl>
    <w:lvl w:ilvl="6" w:tplc="0419000F">
      <w:start w:val="1"/>
      <w:numFmt w:val="decimal"/>
      <w:suff w:val="tab"/>
      <w:lvlText w:val="%7."/>
      <w:lvlJc w:val="left"/>
      <w:pPr>
        <w:ind w:hanging="360" w:left="5389"/>
      </w:pPr>
      <w:rPr/>
    </w:lvl>
    <w:lvl w:ilvl="7" w:tplc="04190019">
      <w:start w:val="1"/>
      <w:numFmt w:val="lowerLetter"/>
      <w:suff w:val="tab"/>
      <w:lvlText w:val="%8."/>
      <w:lvlJc w:val="left"/>
      <w:pPr>
        <w:ind w:hanging="360" w:left="6109"/>
      </w:pPr>
      <w:rPr/>
    </w:lvl>
    <w:lvl w:ilvl="8" w:tplc="0419001B">
      <w:start w:val="1"/>
      <w:numFmt w:val="lowerRoman"/>
      <w:suff w:val="tab"/>
      <w:lvlText w:val="%9."/>
      <w:lvlJc w:val="right"/>
      <w:pPr>
        <w:ind w:hanging="180" w:left="6829"/>
      </w:pPr>
      <w:rPr/>
    </w:lvl>
  </w:abstractNum>
  <w:num w:numId="1">
    <w:abstractNumId w:val="5"/>
  </w:num>
  <w:num w:numId="2">
    <w:abstractNumId w:val="26"/>
  </w:num>
  <w:num w:numId="3">
    <w:abstractNumId w:val="15"/>
  </w:num>
  <w:num w:numId="4">
    <w:abstractNumId w:val="0"/>
  </w:num>
  <w:num w:numId="5">
    <w:abstractNumId w:val="29"/>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num>
  <w:num w:numId="8">
    <w:abstractNumId w:val="21"/>
  </w:num>
  <w:num w:numId="9">
    <w:abstractNumId w:val="23"/>
  </w:num>
  <w:num w:numId="10">
    <w:abstractNumId w:val="22"/>
  </w:num>
  <w:num w:numId="11">
    <w:abstractNumId w:val="20"/>
  </w:num>
  <w:num w:numId="12">
    <w:abstractNumId w:val="24"/>
  </w:num>
  <w:num w:numId="13">
    <w:abstractNumId w:val="7"/>
  </w:num>
  <w:num w:numId="14">
    <w:abstractNumId w:val="10"/>
  </w:num>
  <w:num w:numId="15">
    <w:abstractNumId w:val="2"/>
  </w:num>
  <w:num w:numId="16">
    <w:abstractNumId w:val="9"/>
  </w:num>
  <w:num w:numId="17">
    <w:abstractNumId w:val="28"/>
  </w:num>
  <w:num w:numId="18">
    <w:abstractNumId w:val="14"/>
  </w:num>
  <w:num w:numId="19">
    <w:abstractNumId w:val="25"/>
  </w:num>
  <w:num w:numId="20">
    <w:abstractNumId w:val="6"/>
  </w:num>
  <w:num w:numId="21">
    <w:abstractNumId w:val="27"/>
  </w:num>
  <w:num w:numId="22">
    <w:abstractNumId w:val="18"/>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30"/>
  </w:num>
  <w:num w:numId="26">
    <w:abstractNumId w:val="13"/>
  </w:num>
  <w:num w:numId="27">
    <w:abstractNumId w:val="17"/>
  </w:num>
  <w:num w:numId="28">
    <w:abstractNumId w:val="3"/>
  </w:num>
  <w:num w:numId="29">
    <w:abstractNumId w:val="1"/>
  </w:num>
  <w:num w:numId="30">
    <w:abstractNumId w:val="4"/>
  </w:num>
  <w:num w:numId="31">
    <w:abstractNumId w:val="12"/>
  </w:num>
  <w:num w:numId="32">
    <w:abstractNumId w:val="8"/>
  </w:num>
  <w:num w:numId="33">
    <w:abstractNumId w:val="11"/>
  </w:num>
  <w:num w:numId="34">
    <w:abstractNumId w:val="31"/>
  </w:num>
</w:numbering>
</file>

<file path=word/settings.xml><?xml version="1.0" encoding="utf-8"?>
<w:settings xmlns:w="http://schemas.openxmlformats.org/wordprocessingml/2006/main">
  <w:displayBackgroundShape w:val="0"/>
  <w:defaultTabStop w:val="708"/>
  <w:autoHyphenation w:val="0"/>
  <w:evenAndOddHeaders w:val="0"/>
  <w:clrSchemeMapping/>
</w:settings>
</file>

<file path=word/styles.xml><?xml version="1.0" encoding="utf-8"?>
<w:styles xmlns:w="http://schemas.openxmlformats.org/wordprocessingml/2006/main">
  <w:docDefaults>
    <w:rPrDefault>
      <w:rPr>
        <w:rFonts w:ascii="Calibri" w:hAnsi="Calibri"/>
        <w:b w:val="0"/>
        <w:i w:val="0"/>
        <w:caps w:val="0"/>
        <w:strike w:val="0"/>
        <w:noProof w:val="0"/>
        <w:vanish w:val="0"/>
        <w:color w:val="000000"/>
        <w:sz w:val="22"/>
        <w:u w:val="none"/>
        <w:vertAlign w:val="baseline"/>
        <w:lang w:val="ru-RU" w:bidi="ar-SA" w:eastAsia="en-US"/>
      </w:rPr>
    </w:rPrDefault>
    <w:pPrDefault>
      <w:pPr>
        <w:keepNext w:val="0"/>
        <w:keepLines w:val="0"/>
        <w:widowControl w:val="1"/>
        <w:suppressLineNumbers w:val="0"/>
        <w:shd w:val="clear" w:fill="auto"/>
        <w:suppressAutoHyphens w:val="0"/>
        <w:spacing w:lineRule="auto" w:line="259" w:before="0" w:after="160" w:beforeAutospacing="0" w:afterAutospacing="0"/>
        <w:ind w:firstLine="0" w:left="0" w:right="0"/>
        <w:contextualSpacing w:val="0"/>
        <w:jc w:val="left"/>
      </w:pPr>
    </w:pPrDefault>
  </w:docDefaults>
  <w:style w:type="paragraph" w:styleId="P0" w:default="1">
    <w:name w:val="Normal"/>
    <w:qFormat/>
    <w:pPr/>
    <w:rPr/>
  </w:style>
  <w:style w:type="paragraph" w:styleId="P1">
    <w:name w:val="heading 1"/>
    <w:basedOn w:val="P0"/>
    <w:link w:val="C3"/>
    <w:qFormat/>
    <w:pPr>
      <w:keepNext w:val="1"/>
      <w:spacing w:lineRule="auto" w:line="240" w:before="100" w:after="119" w:beforeAutospacing="1" w:afterAutospacing="0"/>
      <w:outlineLvl w:val="0"/>
    </w:pPr>
    <w:rPr>
      <w:rFonts w:ascii="Times New Roman" w:hAnsi="Times New Roman"/>
      <w:b w:val="1"/>
      <w:sz w:val="48"/>
      <w:lang w:eastAsia="ru-RU"/>
    </w:rPr>
  </w:style>
  <w:style w:type="paragraph" w:styleId="P2">
    <w:name w:val="Normal (Web)"/>
    <w:basedOn w:val="P0"/>
    <w:semiHidden/>
    <w:pPr>
      <w:spacing w:lineRule="auto" w:line="240" w:before="100" w:after="119" w:beforeAutospacing="1" w:afterAutospacing="0"/>
    </w:pPr>
    <w:rPr>
      <w:rFonts w:ascii="Times New Roman" w:hAnsi="Times New Roman"/>
      <w:sz w:val="24"/>
      <w:lang w:eastAsia="ru-RU"/>
    </w:rPr>
  </w:style>
  <w:style w:type="paragraph" w:styleId="P3">
    <w:name w:val="List Paragraph"/>
    <w:basedOn w:val="P0"/>
    <w:link w:val="C9"/>
    <w:qFormat/>
    <w:pPr>
      <w:ind w:left="720"/>
      <w:contextualSpacing w:val="1"/>
    </w:pPr>
    <w:rPr/>
  </w:style>
  <w:style w:type="paragraph" w:styleId="P4">
    <w:name w:val="Balloon Text"/>
    <w:basedOn w:val="P0"/>
    <w:link w:val="C4"/>
    <w:semiHidden/>
    <w:pPr>
      <w:spacing w:lineRule="auto" w:line="240" w:after="0" w:beforeAutospacing="0" w:afterAutospacing="0"/>
    </w:pPr>
    <w:rPr>
      <w:rFonts w:ascii="Segoe UI" w:hAnsi="Segoe UI"/>
      <w:sz w:val="18"/>
    </w:rPr>
  </w:style>
  <w:style w:type="paragraph" w:styleId="P5">
    <w:name w:val="header"/>
    <w:basedOn w:val="P0"/>
    <w:link w:val="C5"/>
    <w:pPr>
      <w:tabs>
        <w:tab w:val="center" w:pos="4677" w:leader="none"/>
        <w:tab w:val="right" w:pos="9355" w:leader="none"/>
      </w:tabs>
      <w:spacing w:lineRule="auto" w:line="240" w:after="0" w:beforeAutospacing="0" w:afterAutospacing="0"/>
    </w:pPr>
    <w:rPr/>
  </w:style>
  <w:style w:type="paragraph" w:styleId="P6">
    <w:name w:val="footer"/>
    <w:basedOn w:val="P0"/>
    <w:link w:val="C6"/>
    <w:pPr>
      <w:tabs>
        <w:tab w:val="center" w:pos="4677" w:leader="none"/>
        <w:tab w:val="right" w:pos="9355" w:leader="none"/>
      </w:tabs>
      <w:spacing w:lineRule="auto" w:line="240" w:after="0" w:beforeAutospacing="0" w:afterAutospacing="0"/>
    </w:pPr>
    <w:rPr/>
  </w:style>
  <w:style w:type="paragraph" w:styleId="P7">
    <w:name w:val="Default"/>
    <w:pPr>
      <w:spacing w:lineRule="auto" w:line="240" w:after="0" w:beforeAutospacing="0" w:afterAutospacing="0"/>
    </w:pPr>
    <w:rPr>
      <w:rFonts w:ascii="Times New Roman" w:hAnsi="Times New Roman"/>
      <w:color w:val="000000"/>
      <w:sz w:val="24"/>
    </w:rPr>
  </w:style>
  <w:style w:type="paragraph" w:styleId="P8">
    <w:name w:val="Оceceбe1e1ыfbfbчf7f7нededыfbfbйe9e9"/>
    <w:basedOn w:val="P0"/>
    <w:pPr>
      <w:spacing w:lineRule="auto" w:line="240" w:after="0" w:beforeAutospacing="0" w:afterAutospacing="0"/>
    </w:pPr>
    <w:rPr>
      <w:rFonts w:ascii="Times New Roman" w:hAnsi="Times New Roman"/>
      <w:sz w:val="24"/>
      <w:lang w:eastAsia="ru-RU"/>
    </w:rPr>
  </w:style>
  <w:style w:type="paragraph" w:styleId="P9">
    <w:name w:val="Без интервала1"/>
    <w:basedOn w:val="P0"/>
    <w:qFormat/>
    <w:pPr>
      <w:spacing w:lineRule="auto" w:line="240" w:after="192" w:beforeAutospacing="0" w:afterAutospacing="0"/>
    </w:pPr>
    <w:rPr>
      <w:rFonts w:ascii="Times New Roman" w:hAnsi="Times New Roman"/>
      <w:noProof w:val="1"/>
      <w:color w:val="000000"/>
      <w:sz w:val="24"/>
      <w:lang w:eastAsia="ru-RU"/>
    </w:rPr>
  </w:style>
  <w:style w:type="character" w:styleId="C0" w:default="1">
    <w:name w:val="Default Paragraph Font"/>
    <w:semiHidden/>
    <w:rPr/>
  </w:style>
  <w:style w:type="character" w:styleId="C1">
    <w:name w:val="Line Number"/>
    <w:basedOn w:val="C0"/>
    <w:semiHidden/>
    <w:rPr/>
  </w:style>
  <w:style w:type="character" w:styleId="C2">
    <w:name w:val="Hyperlink"/>
    <w:basedOn w:val="C0"/>
    <w:rPr>
      <w:color w:val="000080"/>
      <w:u w:val="single"/>
    </w:rPr>
  </w:style>
  <w:style w:type="character" w:styleId="C3">
    <w:name w:val="Заголовок 1 Знак"/>
    <w:basedOn w:val="C0"/>
    <w:link w:val="P1"/>
    <w:rPr>
      <w:rFonts w:ascii="Times New Roman" w:hAnsi="Times New Roman"/>
      <w:b w:val="1"/>
      <w:sz w:val="48"/>
      <w:lang w:eastAsia="ru-RU"/>
    </w:rPr>
  </w:style>
  <w:style w:type="character" w:styleId="C4">
    <w:name w:val="Текст выноски Знак"/>
    <w:basedOn w:val="C0"/>
    <w:link w:val="P4"/>
    <w:semiHidden/>
    <w:rPr>
      <w:rFonts w:ascii="Segoe UI" w:hAnsi="Segoe UI"/>
      <w:sz w:val="18"/>
    </w:rPr>
  </w:style>
  <w:style w:type="character" w:styleId="C5">
    <w:name w:val="Верхний колонтитул Знак"/>
    <w:basedOn w:val="C0"/>
    <w:link w:val="P5"/>
    <w:rPr/>
  </w:style>
  <w:style w:type="character" w:styleId="C6">
    <w:name w:val="Нижний колонтитул Знак"/>
    <w:basedOn w:val="C0"/>
    <w:link w:val="P6"/>
    <w:rPr/>
  </w:style>
  <w:style w:type="character" w:styleId="C7">
    <w:name w:val="line number"/>
    <w:basedOn w:val="C0"/>
    <w:rPr>
      <w:rFonts w:ascii="Times New Roman" w:hAnsi="Times New Roman"/>
      <w:color w:val="000000"/>
    </w:rPr>
  </w:style>
  <w:style w:type="character" w:styleId="C8">
    <w:name w:val="blk"/>
    <w:basedOn w:val="C0"/>
    <w:rPr/>
  </w:style>
  <w:style w:type="character" w:styleId="C9">
    <w:name w:val="Абзац списка Знак"/>
    <w:link w:val="P3"/>
    <w:rPr/>
  </w:style>
  <w:style w:type="character" w:styleId="C10">
    <w:name w:val="cardmaininfo__content"/>
    <w:basedOn w:val="C0"/>
    <w:rPr/>
  </w:style>
  <w:style w:type="character" w:styleId="C11">
    <w:name w:val="navbreadcrumb__text"/>
    <w:basedOn w:val="C0"/>
    <w:rPr/>
  </w:style>
  <w:style w:type="character" w:styleId="C12">
    <w:name w:val="section__title"/>
    <w:basedOn w:val="C0"/>
    <w:rPr/>
  </w:style>
  <w:style w:type="character" w:styleId="C13">
    <w:name w:val="Strong"/>
    <w:basedOn w:val="C0"/>
    <w:qFormat/>
    <w:rPr>
      <w:b w:val="1"/>
    </w:rPr>
  </w:style>
  <w:style w:type="character" w:styleId="C14">
    <w:name w:val="cardmaininfo__purchaselink"/>
    <w:basedOn w:val="C0"/>
    <w:rPr/>
  </w:style>
  <w:style w:type="character" w:styleId="C15">
    <w:name w:val="Font Style11"/>
    <w:basedOn w:val="C0"/>
    <w:rPr>
      <w:rFonts w:ascii="Times New Roman" w:hAnsi="Times New Roman"/>
      <w:sz w:val="22"/>
    </w:rPr>
  </w:style>
  <w:style w:type="character" w:styleId="C16">
    <w:name w:val="Font Style13"/>
    <w:basedOn w:val="C0"/>
    <w:rPr>
      <w:rFonts w:ascii="Times New Roman" w:hAnsi="Times New Roman"/>
      <w:b w:val="1"/>
      <w:sz w:val="22"/>
    </w:rPr>
  </w:style>
  <w:style w:type="character" w:styleId="C17">
    <w:name w:val="Оceceсf1f1нededоeeeeвe2e2нededоeeeeйe9e9 шf8f8рf0f0иe8e8фf4f4тf2f2 аe0e0бe1e1зe7e7аe0e0цf6f6аe0e0"/>
    <w:rPr>
      <w:sz w:val="22"/>
    </w:rPr>
  </w:style>
  <w:style w:type="character" w:styleId="C18">
    <w:name w:val="section__info"/>
    <w:basedOn w:val="C0"/>
    <w:rPr/>
  </w:style>
  <w:style w:type="table" w:styleId="T0" w:default="1">
    <w:name w:val="Normal Table"/>
    <w:semiHidden/>
    <w:tblPr>
      <w:tblInd w:w="0" w:type="dxa"/>
      <w:tblCellMar>
        <w:top w:w="0" w:type="dxa"/>
        <w:left w:w="108" w:type="dxa"/>
        <w:bottom w:w="0" w:type="dxa"/>
        <w:right w:w="108" w:type="dxa"/>
      </w:tblCellMar>
    </w:tblPr>
    <w:trPr/>
    <w:tcPr/>
  </w:style>
  <w:style w:type="table" w:styleId="T1">
    <w:name w:val="Table Simple 1"/>
    <w:basedOn w:val="T0"/>
    <w:pPr>
      <w:spacing w:lineRule="auto" w:line="240" w:after="0" w:beforeAutospacing="0" w:afterAutospacing="0"/>
    </w:pPr>
    <w:rPr>
      <w:rFonts w:ascii="Times New Roman" w:hAnsi="Times New Roman"/>
      <w:lang w:eastAsia="ru-RU"/>
    </w:rPr>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left w:w="0" w:type="dxa"/>
        <w:right w:w="0" w:type="dxa"/>
      </w:tblCellMar>
    </w:tblPr>
    <w:trPr/>
    <w:tcPr/>
  </w:style>
  <w:style w:type="numbering" w:styleId="N0">
    <w:name w:val="No List"/>
  </w:style>
</w:styles>
</file>

<file path=word/_rels/document.xml.rels>&#65279;<?xml version="1.0" encoding="utf-8"?><Relationships xmlns="http://schemas.openxmlformats.org/package/2006/relationships"><Relationship Id="RelHdr1" Type="http://schemas.openxmlformats.org/officeDocument/2006/relationships/header" Target="header1.xml"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