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E" w:rsidRPr="0097250B" w:rsidRDefault="0072044E" w:rsidP="007D3D93">
      <w:pPr>
        <w:pStyle w:val="a6"/>
        <w:jc w:val="left"/>
        <w:rPr>
          <w:sz w:val="24"/>
          <w:szCs w:val="24"/>
        </w:rPr>
      </w:pPr>
      <w:r w:rsidRPr="0097250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-47625</wp:posOffset>
            </wp:positionV>
            <wp:extent cx="6381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278" y="21073"/>
                <wp:lineTo x="21278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D93">
        <w:rPr>
          <w:sz w:val="24"/>
          <w:szCs w:val="24"/>
        </w:rPr>
        <w:br w:type="textWrapping" w:clear="all"/>
      </w:r>
    </w:p>
    <w:p w:rsidR="0072044E" w:rsidRPr="0097250B" w:rsidRDefault="0072044E" w:rsidP="0072044E">
      <w:pPr>
        <w:ind w:left="-1134" w:firstLine="1985"/>
        <w:jc w:val="center"/>
      </w:pPr>
    </w:p>
    <w:p w:rsidR="0072044E" w:rsidRPr="0097250B" w:rsidRDefault="0072044E" w:rsidP="0072044E">
      <w:pPr>
        <w:keepNext/>
        <w:jc w:val="center"/>
        <w:outlineLvl w:val="1"/>
        <w:rPr>
          <w:b/>
        </w:rPr>
      </w:pPr>
      <w:r w:rsidRPr="0097250B">
        <w:rPr>
          <w:b/>
        </w:rPr>
        <w:t>ФЕДЕРАЛЬНАЯ</w:t>
      </w:r>
    </w:p>
    <w:p w:rsidR="0072044E" w:rsidRPr="0097250B" w:rsidRDefault="0072044E" w:rsidP="0072044E">
      <w:pPr>
        <w:jc w:val="center"/>
        <w:rPr>
          <w:b/>
        </w:rPr>
      </w:pPr>
      <w:r w:rsidRPr="0097250B">
        <w:rPr>
          <w:b/>
        </w:rPr>
        <w:t>АНТИМОНОПОЛЬНАЯ СЛУЖБА</w:t>
      </w:r>
    </w:p>
    <w:p w:rsidR="0072044E" w:rsidRPr="0097250B" w:rsidRDefault="0072044E" w:rsidP="0072044E">
      <w:pPr>
        <w:keepNext/>
        <w:spacing w:before="240" w:after="60"/>
        <w:jc w:val="center"/>
        <w:outlineLvl w:val="3"/>
        <w:rPr>
          <w:b/>
          <w:bCs/>
        </w:rPr>
      </w:pPr>
      <w:r w:rsidRPr="0097250B">
        <w:rPr>
          <w:b/>
          <w:bCs/>
        </w:rPr>
        <w:t>УПРАВЛЕНИЕ</w:t>
      </w:r>
    </w:p>
    <w:p w:rsidR="0072044E" w:rsidRPr="0097250B" w:rsidRDefault="0072044E" w:rsidP="0072044E">
      <w:pPr>
        <w:ind w:left="-1134" w:firstLine="1134"/>
        <w:jc w:val="center"/>
        <w:rPr>
          <w:b/>
        </w:rPr>
      </w:pPr>
      <w:r w:rsidRPr="0097250B">
        <w:rPr>
          <w:b/>
        </w:rPr>
        <w:t>по Саратовской области</w:t>
      </w:r>
    </w:p>
    <w:p w:rsidR="0072044E" w:rsidRPr="00291C93" w:rsidRDefault="0072044E" w:rsidP="0072044E">
      <w:pPr>
        <w:pBdr>
          <w:bottom w:val="single" w:sz="48" w:space="2" w:color="auto"/>
        </w:pBdr>
        <w:jc w:val="center"/>
        <w:rPr>
          <w:b/>
          <w:sz w:val="20"/>
        </w:rPr>
      </w:pPr>
    </w:p>
    <w:p w:rsidR="0072044E" w:rsidRPr="00291C93" w:rsidRDefault="0072044E" w:rsidP="0072044E">
      <w:pPr>
        <w:rPr>
          <w:sz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044E" w:rsidRPr="00291C93" w:rsidTr="00CF3C49">
        <w:tc>
          <w:tcPr>
            <w:tcW w:w="4820" w:type="dxa"/>
          </w:tcPr>
          <w:p w:rsidR="0072044E" w:rsidRPr="00291C93" w:rsidRDefault="0072044E" w:rsidP="00CF3C49">
            <w:pPr>
              <w:rPr>
                <w:sz w:val="20"/>
              </w:rPr>
            </w:pPr>
            <w:r w:rsidRPr="00291C93">
              <w:rPr>
                <w:sz w:val="20"/>
              </w:rPr>
              <w:t>410012,  г. Саратов, ул. Вольская, 81</w:t>
            </w:r>
          </w:p>
          <w:p w:rsidR="0072044E" w:rsidRPr="00291C93" w:rsidRDefault="0072044E" w:rsidP="00CF3C49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72044E" w:rsidRPr="00291C93" w:rsidRDefault="0072044E" w:rsidP="00CF3C49">
            <w:pPr>
              <w:ind w:left="34" w:firstLine="283"/>
              <w:jc w:val="right"/>
              <w:rPr>
                <w:sz w:val="20"/>
              </w:rPr>
            </w:pPr>
            <w:r w:rsidRPr="00291C93">
              <w:rPr>
                <w:sz w:val="20"/>
              </w:rPr>
              <w:t>Тел.:  (845-2) 27-96-42</w:t>
            </w:r>
          </w:p>
          <w:p w:rsidR="0072044E" w:rsidRPr="00291C93" w:rsidRDefault="0072044E" w:rsidP="00CF3C49">
            <w:pPr>
              <w:ind w:left="34" w:firstLine="283"/>
              <w:jc w:val="right"/>
              <w:rPr>
                <w:sz w:val="20"/>
              </w:rPr>
            </w:pPr>
            <w:r w:rsidRPr="00291C93">
              <w:rPr>
                <w:sz w:val="20"/>
              </w:rPr>
              <w:t xml:space="preserve">Факс: (845-2) 27-93-14     </w:t>
            </w:r>
          </w:p>
          <w:p w:rsidR="0072044E" w:rsidRPr="00291C93" w:rsidRDefault="0072044E" w:rsidP="00CF3C49">
            <w:pPr>
              <w:ind w:left="34" w:firstLine="283"/>
              <w:jc w:val="right"/>
              <w:rPr>
                <w:sz w:val="20"/>
              </w:rPr>
            </w:pPr>
            <w:r w:rsidRPr="00291C93">
              <w:rPr>
                <w:sz w:val="20"/>
              </w:rPr>
              <w:t xml:space="preserve">E-mail: </w:t>
            </w:r>
            <w:r w:rsidRPr="00291C93">
              <w:rPr>
                <w:sz w:val="20"/>
                <w:lang w:val="en-US"/>
              </w:rPr>
              <w:t>to</w:t>
            </w:r>
            <w:r w:rsidRPr="00291C93">
              <w:rPr>
                <w:sz w:val="20"/>
              </w:rPr>
              <w:t>64@</w:t>
            </w:r>
            <w:r w:rsidRPr="00291C93">
              <w:rPr>
                <w:sz w:val="20"/>
                <w:lang w:val="en-US"/>
              </w:rPr>
              <w:t>fas</w:t>
            </w:r>
            <w:r w:rsidRPr="00291C93">
              <w:rPr>
                <w:sz w:val="20"/>
              </w:rPr>
              <w:t>.</w:t>
            </w:r>
            <w:r w:rsidRPr="00291C93">
              <w:rPr>
                <w:sz w:val="20"/>
                <w:lang w:val="en-US"/>
              </w:rPr>
              <w:t>gov</w:t>
            </w:r>
            <w:r w:rsidRPr="00291C93">
              <w:rPr>
                <w:sz w:val="20"/>
              </w:rPr>
              <w:t>.ru</w:t>
            </w:r>
          </w:p>
        </w:tc>
      </w:tr>
    </w:tbl>
    <w:p w:rsidR="006C34C3" w:rsidRDefault="0072044E" w:rsidP="0072044E">
      <w:pPr>
        <w:jc w:val="center"/>
        <w:rPr>
          <w:b/>
          <w:bCs/>
        </w:rPr>
      </w:pPr>
      <w:proofErr w:type="gramStart"/>
      <w:r w:rsidRPr="005750C0">
        <w:rPr>
          <w:b/>
          <w:bCs/>
        </w:rPr>
        <w:t>Р</w:t>
      </w:r>
      <w:proofErr w:type="gramEnd"/>
      <w:r w:rsidRPr="005750C0">
        <w:rPr>
          <w:b/>
          <w:bCs/>
        </w:rPr>
        <w:t xml:space="preserve"> Е Ш Е Н И Е </w:t>
      </w:r>
      <w:r w:rsidR="00712CB8" w:rsidRPr="004F01A1">
        <w:rPr>
          <w:b/>
          <w:bCs/>
        </w:rPr>
        <w:t>№</w:t>
      </w:r>
      <w:r w:rsidR="00A67795" w:rsidRPr="004F01A1">
        <w:rPr>
          <w:b/>
          <w:bCs/>
        </w:rPr>
        <w:t xml:space="preserve"> </w:t>
      </w:r>
      <w:r w:rsidR="006B34A3" w:rsidRPr="006B34A3">
        <w:rPr>
          <w:b/>
          <w:bCs/>
        </w:rPr>
        <w:t>064/06/64-114/2021</w:t>
      </w:r>
    </w:p>
    <w:p w:rsidR="0072044E" w:rsidRPr="0097250B" w:rsidRDefault="0072044E" w:rsidP="0072044E">
      <w:pPr>
        <w:jc w:val="center"/>
        <w:rPr>
          <w:b/>
          <w:bCs/>
        </w:rPr>
      </w:pPr>
      <w:r w:rsidRPr="005750C0">
        <w:rPr>
          <w:b/>
          <w:bCs/>
        </w:rPr>
        <w:t xml:space="preserve">о признании жалобы </w:t>
      </w:r>
      <w:r w:rsidR="006B34A3">
        <w:rPr>
          <w:b/>
          <w:bCs/>
        </w:rPr>
        <w:t>не</w:t>
      </w:r>
      <w:r w:rsidRPr="005750C0">
        <w:rPr>
          <w:b/>
          <w:bCs/>
        </w:rPr>
        <w:t>обоснованной</w:t>
      </w:r>
    </w:p>
    <w:p w:rsidR="008D2EAB" w:rsidRDefault="008D2EAB" w:rsidP="00616049">
      <w:pPr>
        <w:jc w:val="both"/>
      </w:pPr>
    </w:p>
    <w:p w:rsidR="0072044E" w:rsidRPr="0097250B" w:rsidRDefault="001736C2" w:rsidP="0072044E">
      <w:pPr>
        <w:ind w:firstLine="709"/>
        <w:jc w:val="both"/>
      </w:pPr>
      <w:r>
        <w:t>15</w:t>
      </w:r>
      <w:r w:rsidR="0072044E" w:rsidRPr="0097250B">
        <w:t xml:space="preserve"> </w:t>
      </w:r>
      <w:r w:rsidR="00EE17A5">
        <w:t>февраля</w:t>
      </w:r>
      <w:r w:rsidR="0054056D" w:rsidRPr="0097250B">
        <w:t xml:space="preserve"> </w:t>
      </w:r>
      <w:r w:rsidR="0072044E" w:rsidRPr="0097250B">
        <w:t>202</w:t>
      </w:r>
      <w:r w:rsidR="004A6479" w:rsidRPr="008D2EAB">
        <w:t>1</w:t>
      </w:r>
      <w:r w:rsidR="0072044E" w:rsidRPr="0097250B">
        <w:t xml:space="preserve"> года          </w:t>
      </w:r>
      <w:r w:rsidR="0072044E" w:rsidRPr="0097250B">
        <w:tab/>
      </w:r>
      <w:r w:rsidR="0072044E" w:rsidRPr="0097250B">
        <w:tab/>
        <w:t xml:space="preserve">                                                       </w:t>
      </w:r>
      <w:r w:rsidR="0054056D" w:rsidRPr="0097250B">
        <w:t xml:space="preserve">           </w:t>
      </w:r>
      <w:r w:rsidR="0072044E" w:rsidRPr="0097250B">
        <w:t xml:space="preserve">     г. Саратов</w:t>
      </w:r>
    </w:p>
    <w:p w:rsidR="0072044E" w:rsidRPr="0097250B" w:rsidRDefault="0072044E" w:rsidP="0072044E">
      <w:pPr>
        <w:ind w:firstLine="709"/>
        <w:jc w:val="both"/>
      </w:pPr>
    </w:p>
    <w:p w:rsidR="0054056D" w:rsidRPr="008D2EAB" w:rsidRDefault="0054056D" w:rsidP="0054056D">
      <w:pPr>
        <w:ind w:firstLine="708"/>
        <w:jc w:val="both"/>
        <w:rPr>
          <w:sz w:val="26"/>
          <w:szCs w:val="26"/>
        </w:rPr>
      </w:pPr>
      <w:r w:rsidRPr="008D2EAB">
        <w:rPr>
          <w:sz w:val="26"/>
          <w:szCs w:val="26"/>
        </w:rPr>
        <w:t xml:space="preserve">Комиссия Управления Федеральной антимонопольной службы по Саратовской области по контролю в сфере закупок на поставки товаров, выполнение работ, оказание услуг для государственных и муниципальных нужд (далее – Комиссия) в составе: </w:t>
      </w:r>
    </w:p>
    <w:p w:rsidR="00D16A58" w:rsidRDefault="00D16A58" w:rsidP="0054056D">
      <w:pPr>
        <w:ind w:right="-2"/>
        <w:jc w:val="both"/>
      </w:pPr>
    </w:p>
    <w:p w:rsidR="0054056D" w:rsidRPr="007C730B" w:rsidRDefault="0054056D" w:rsidP="0054056D">
      <w:pPr>
        <w:ind w:right="-2"/>
        <w:jc w:val="both"/>
        <w:rPr>
          <w:b/>
          <w:color w:val="000000"/>
        </w:rPr>
      </w:pPr>
      <w:r w:rsidRPr="007C730B">
        <w:t>рассмотрев жалоб</w:t>
      </w:r>
      <w:proofErr w:type="gramStart"/>
      <w:r w:rsidRPr="007C730B">
        <w:t xml:space="preserve">у </w:t>
      </w:r>
      <w:r w:rsidR="006B34A3" w:rsidRPr="006B34A3">
        <w:t>ООО</w:t>
      </w:r>
      <w:proofErr w:type="gramEnd"/>
      <w:r w:rsidR="006B34A3" w:rsidRPr="006B34A3">
        <w:t xml:space="preserve"> «</w:t>
      </w:r>
      <w:proofErr w:type="spellStart"/>
      <w:r w:rsidR="006B34A3" w:rsidRPr="006B34A3">
        <w:t>ТехСтройПартнер</w:t>
      </w:r>
      <w:proofErr w:type="spellEnd"/>
      <w:r w:rsidR="006B34A3" w:rsidRPr="006B34A3">
        <w:t xml:space="preserve">» на действия Заказчика Администрации Репинского муниципального образования </w:t>
      </w:r>
      <w:proofErr w:type="spellStart"/>
      <w:r w:rsidR="006B34A3" w:rsidRPr="006B34A3">
        <w:t>Балашовского</w:t>
      </w:r>
      <w:proofErr w:type="spellEnd"/>
      <w:r w:rsidR="006B34A3" w:rsidRPr="006B34A3">
        <w:t xml:space="preserve"> муниципального района Саратовской области и Уполномоченного органа Администрации </w:t>
      </w:r>
      <w:proofErr w:type="spellStart"/>
      <w:r w:rsidR="006B34A3" w:rsidRPr="006B34A3">
        <w:t>Балашовского</w:t>
      </w:r>
      <w:proofErr w:type="spellEnd"/>
      <w:r w:rsidR="006B34A3" w:rsidRPr="006B34A3">
        <w:t xml:space="preserve"> муниципального района Саратовской области при проведении электронного аукциона № 0360300052821000027 «Строительство здания со спортивным залом и 4 учебными кабинетами»</w:t>
      </w:r>
      <w:r w:rsidRPr="007C730B">
        <w:t>,</w:t>
      </w:r>
    </w:p>
    <w:p w:rsidR="00A67795" w:rsidRDefault="00A67795" w:rsidP="0054056D">
      <w:pPr>
        <w:ind w:hanging="3"/>
        <w:jc w:val="center"/>
        <w:rPr>
          <w:b/>
          <w:color w:val="000000"/>
        </w:rPr>
      </w:pPr>
    </w:p>
    <w:p w:rsidR="0072044E" w:rsidRPr="007C730B" w:rsidRDefault="0072044E" w:rsidP="0054056D">
      <w:pPr>
        <w:ind w:hanging="3"/>
        <w:jc w:val="center"/>
        <w:rPr>
          <w:b/>
          <w:color w:val="000000"/>
        </w:rPr>
      </w:pPr>
      <w:r w:rsidRPr="007C730B">
        <w:rPr>
          <w:b/>
          <w:color w:val="000000"/>
        </w:rPr>
        <w:t>УСТАНОВИЛА:</w:t>
      </w:r>
    </w:p>
    <w:p w:rsidR="00971FF0" w:rsidRPr="007C730B" w:rsidRDefault="00971FF0" w:rsidP="0054056D">
      <w:pPr>
        <w:ind w:hanging="3"/>
        <w:jc w:val="center"/>
        <w:rPr>
          <w:b/>
          <w:color w:val="000000"/>
        </w:rPr>
      </w:pPr>
    </w:p>
    <w:p w:rsidR="0054056D" w:rsidRPr="007C730B" w:rsidRDefault="00971FF0" w:rsidP="0054056D">
      <w:pPr>
        <w:ind w:firstLine="708"/>
        <w:jc w:val="both"/>
      </w:pPr>
      <w:r w:rsidRPr="007C730B">
        <w:t>0</w:t>
      </w:r>
      <w:r w:rsidR="00AA4266">
        <w:t>9</w:t>
      </w:r>
      <w:r w:rsidR="0072044E" w:rsidRPr="007C730B">
        <w:t>.</w:t>
      </w:r>
      <w:r w:rsidRPr="007C730B">
        <w:t>02</w:t>
      </w:r>
      <w:r w:rsidR="0072044E" w:rsidRPr="007C730B">
        <w:t>.202</w:t>
      </w:r>
      <w:r w:rsidRPr="007C730B">
        <w:t>1</w:t>
      </w:r>
      <w:r w:rsidR="0072044E" w:rsidRPr="007C730B">
        <w:t xml:space="preserve"> в Саратовское УФАС России поступила </w:t>
      </w:r>
      <w:r w:rsidR="006013C9" w:rsidRPr="007C730B">
        <w:t xml:space="preserve">жалоба </w:t>
      </w:r>
      <w:r w:rsidR="006B34A3" w:rsidRPr="006B34A3">
        <w:t>ООО «</w:t>
      </w:r>
      <w:proofErr w:type="spellStart"/>
      <w:r w:rsidR="006B34A3" w:rsidRPr="006B34A3">
        <w:t>ТехСтройПартнер</w:t>
      </w:r>
      <w:proofErr w:type="spellEnd"/>
      <w:r w:rsidR="006B34A3" w:rsidRPr="006B34A3">
        <w:t xml:space="preserve">» на действия Заказчика Администрации Репинского муниципального образования </w:t>
      </w:r>
      <w:proofErr w:type="spellStart"/>
      <w:r w:rsidR="006B34A3" w:rsidRPr="006B34A3">
        <w:t>Балашовского</w:t>
      </w:r>
      <w:proofErr w:type="spellEnd"/>
      <w:r w:rsidR="006B34A3" w:rsidRPr="006B34A3">
        <w:t xml:space="preserve"> муниципального района Саратовской области и Уполномоченного органа Администрации </w:t>
      </w:r>
      <w:proofErr w:type="spellStart"/>
      <w:r w:rsidR="006B34A3" w:rsidRPr="006B34A3">
        <w:t>Балашовского</w:t>
      </w:r>
      <w:proofErr w:type="spellEnd"/>
      <w:r w:rsidR="006B34A3" w:rsidRPr="006B34A3">
        <w:t xml:space="preserve"> муниципального района Саратовской области при проведении электронного аукциона № 0360300052821000027 «Строительство здания со спортивным залом и 4 учебными кабинетами»</w:t>
      </w:r>
      <w:r w:rsidR="00E47A40" w:rsidRPr="00E47A40">
        <w:t xml:space="preserve"> </w:t>
      </w:r>
      <w:r w:rsidR="0054056D" w:rsidRPr="007C730B">
        <w:t>(дале</w:t>
      </w:r>
      <w:proofErr w:type="gramStart"/>
      <w:r w:rsidR="0054056D" w:rsidRPr="007C730B">
        <w:t>е-</w:t>
      </w:r>
      <w:proofErr w:type="gramEnd"/>
      <w:r w:rsidR="0054056D" w:rsidRPr="007C730B">
        <w:t xml:space="preserve"> Аукцион).</w:t>
      </w:r>
    </w:p>
    <w:p w:rsidR="0072044E" w:rsidRPr="007C730B" w:rsidRDefault="0072044E" w:rsidP="0054056D">
      <w:pPr>
        <w:ind w:firstLine="708"/>
        <w:jc w:val="both"/>
        <w:rPr>
          <w:i/>
        </w:rPr>
      </w:pPr>
      <w:r w:rsidRPr="007C730B">
        <w:rPr>
          <w:i/>
        </w:rPr>
        <w:t>Изучив представленные сведения и документы, проведя внеплановую проверку, Комиссия пришла к следующим выводам:</w:t>
      </w:r>
    </w:p>
    <w:p w:rsidR="0072044E" w:rsidRPr="007C730B" w:rsidRDefault="00E47A40" w:rsidP="0072044E">
      <w:pPr>
        <w:ind w:firstLine="709"/>
        <w:jc w:val="both"/>
      </w:pPr>
      <w:r>
        <w:t>0</w:t>
      </w:r>
      <w:r w:rsidR="00AA4266">
        <w:t>2</w:t>
      </w:r>
      <w:r w:rsidR="00E32252" w:rsidRPr="007C730B">
        <w:t>.</w:t>
      </w:r>
      <w:r>
        <w:t>02</w:t>
      </w:r>
      <w:r w:rsidR="00971FF0" w:rsidRPr="007C730B">
        <w:t>.2021</w:t>
      </w:r>
      <w:r w:rsidR="0072044E" w:rsidRPr="007C730B">
        <w:t xml:space="preserve"> в Единой информационной системе в сфере закупок были размещены извещение о проведен</w:t>
      </w:r>
      <w:proofErr w:type="gramStart"/>
      <w:r w:rsidR="0072044E" w:rsidRPr="007C730B">
        <w:t>ии Ау</w:t>
      </w:r>
      <w:proofErr w:type="gramEnd"/>
      <w:r w:rsidR="0072044E" w:rsidRPr="007C730B">
        <w:t>кциона и документация об Аукционе.</w:t>
      </w:r>
    </w:p>
    <w:p w:rsidR="0072044E" w:rsidRPr="007C730B" w:rsidRDefault="0072044E" w:rsidP="0072044E">
      <w:pPr>
        <w:ind w:firstLine="709"/>
        <w:jc w:val="both"/>
      </w:pPr>
      <w:r w:rsidRPr="007C730B">
        <w:t xml:space="preserve">Заказчиком данного Аукциона является </w:t>
      </w:r>
      <w:r w:rsidR="00AA4266" w:rsidRPr="00AA4266">
        <w:t>Администраци</w:t>
      </w:r>
      <w:r w:rsidR="00AA4266">
        <w:t>я</w:t>
      </w:r>
      <w:r w:rsidR="00AA4266" w:rsidRPr="00AA4266">
        <w:t xml:space="preserve"> Репинского муниципального образования </w:t>
      </w:r>
      <w:proofErr w:type="spellStart"/>
      <w:r w:rsidR="00AA4266" w:rsidRPr="00AA4266">
        <w:t>Балашовского</w:t>
      </w:r>
      <w:proofErr w:type="spellEnd"/>
      <w:r w:rsidR="00AA4266" w:rsidRPr="00AA4266">
        <w:t xml:space="preserve"> муниципального района Саратовской области</w:t>
      </w:r>
      <w:r w:rsidR="004E6744" w:rsidRPr="007C730B">
        <w:t xml:space="preserve"> </w:t>
      </w:r>
      <w:r w:rsidRPr="007C730B">
        <w:t>(далее – Заказчик).</w:t>
      </w:r>
    </w:p>
    <w:p w:rsidR="0072044E" w:rsidRPr="007C730B" w:rsidRDefault="0072044E" w:rsidP="0072044E">
      <w:pPr>
        <w:ind w:firstLine="709"/>
        <w:jc w:val="both"/>
      </w:pPr>
      <w:r w:rsidRPr="007C730B">
        <w:t xml:space="preserve">Начальная (максимальная) цена контракта составляет </w:t>
      </w:r>
      <w:r w:rsidR="00AA4266" w:rsidRPr="00AA4266">
        <w:rPr>
          <w:shd w:val="clear" w:color="auto" w:fill="FFFFFF"/>
        </w:rPr>
        <w:t>48 007 142,86</w:t>
      </w:r>
      <w:r w:rsidR="004E6744" w:rsidRPr="007C730B">
        <w:rPr>
          <w:shd w:val="clear" w:color="auto" w:fill="FFFFFF"/>
        </w:rPr>
        <w:t xml:space="preserve"> </w:t>
      </w:r>
      <w:r w:rsidRPr="007C730B">
        <w:t xml:space="preserve">рублей. </w:t>
      </w:r>
    </w:p>
    <w:p w:rsidR="00796A66" w:rsidRPr="00796A66" w:rsidRDefault="00796A66" w:rsidP="00796A66">
      <w:pPr>
        <w:ind w:firstLine="709"/>
        <w:jc w:val="both"/>
        <w:rPr>
          <w:color w:val="000000"/>
        </w:rPr>
      </w:pPr>
      <w:r w:rsidRPr="00796A66">
        <w:rPr>
          <w:color w:val="000000"/>
        </w:rPr>
        <w:t xml:space="preserve">Согласно п. 11 ч. 1 ст.64 Закона о контрактной системе </w:t>
      </w:r>
      <w:proofErr w:type="gramStart"/>
      <w:r w:rsidRPr="00796A66">
        <w:rPr>
          <w:color w:val="000000"/>
        </w:rPr>
        <w:t>документация</w:t>
      </w:r>
      <w:proofErr w:type="gramEnd"/>
      <w:r w:rsidRPr="00796A66">
        <w:rPr>
          <w:color w:val="000000"/>
        </w:rPr>
        <w:t xml:space="preserve"> об электронном аукционе наряду с информацией, указанной в извещении о проведении такого аукциона, должна содержать информацию о порядке, дате начала и окончанию срока предоставления участникам такого аукциона разъяснений положений документации о таком аукционе.</w:t>
      </w:r>
    </w:p>
    <w:p w:rsidR="00796A66" w:rsidRPr="00796A66" w:rsidRDefault="00796A66" w:rsidP="00796A66">
      <w:pPr>
        <w:ind w:firstLine="709"/>
        <w:jc w:val="both"/>
        <w:rPr>
          <w:color w:val="000000"/>
        </w:rPr>
      </w:pPr>
      <w:proofErr w:type="gramStart"/>
      <w:r w:rsidRPr="00796A66">
        <w:rPr>
          <w:color w:val="000000"/>
        </w:rPr>
        <w:t xml:space="preserve">В соответствии с ч.3 ст. 65 Закона о контрактной системе любой участник электронного аукциона, зарегистрированный в единой информационной системе и </w:t>
      </w:r>
      <w:r w:rsidRPr="00796A66">
        <w:rPr>
          <w:color w:val="000000"/>
        </w:rPr>
        <w:lastRenderedPageBreak/>
        <w:t>аккредитованный на электронной площадке,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даче разъяснений положений документации о таком аукционе.</w:t>
      </w:r>
      <w:proofErr w:type="gramEnd"/>
      <w:r w:rsidRPr="00796A66">
        <w:rPr>
          <w:color w:val="000000"/>
        </w:rPr>
        <w:t xml:space="preserve">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аукциона. В течение одного часа с момента поступления указанного запроса он направляется оператором электронной площадки заказчику.</w:t>
      </w:r>
    </w:p>
    <w:p w:rsidR="00796A66" w:rsidRPr="00796A66" w:rsidRDefault="00796A66" w:rsidP="00796A66">
      <w:pPr>
        <w:ind w:firstLine="709"/>
        <w:jc w:val="both"/>
        <w:rPr>
          <w:color w:val="000000"/>
        </w:rPr>
      </w:pPr>
      <w:proofErr w:type="gramStart"/>
      <w:r w:rsidRPr="00796A66">
        <w:rPr>
          <w:color w:val="000000"/>
        </w:rPr>
        <w:t>Согласно ч.4 ст. 65 Закона о контрактной системе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 запрос поступил</w:t>
      </w:r>
      <w:proofErr w:type="gramEnd"/>
      <w:r w:rsidRPr="00796A66">
        <w:rPr>
          <w:color w:val="000000"/>
        </w:rPr>
        <w:t xml:space="preserve"> заказчику не </w:t>
      </w:r>
      <w:proofErr w:type="gramStart"/>
      <w:r w:rsidRPr="00796A66">
        <w:rPr>
          <w:color w:val="000000"/>
        </w:rPr>
        <w:t>позднее</w:t>
      </w:r>
      <w:proofErr w:type="gramEnd"/>
      <w:r w:rsidRPr="00796A66">
        <w:rPr>
          <w:color w:val="000000"/>
        </w:rPr>
        <w:t xml:space="preserve"> чем за три дня до даты окончания срока подачи заявок на участие в таком аукционе.</w:t>
      </w:r>
    </w:p>
    <w:p w:rsidR="00796A66" w:rsidRPr="00796A66" w:rsidRDefault="00796A66" w:rsidP="00796A66">
      <w:pPr>
        <w:ind w:firstLine="709"/>
        <w:jc w:val="both"/>
        <w:rPr>
          <w:color w:val="000000"/>
        </w:rPr>
      </w:pPr>
      <w:r w:rsidRPr="00796A66">
        <w:rPr>
          <w:color w:val="000000"/>
        </w:rPr>
        <w:t>В соответствии со ст.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796A66" w:rsidRDefault="00796A66" w:rsidP="00796A66">
      <w:pPr>
        <w:ind w:firstLine="709"/>
        <w:jc w:val="both"/>
        <w:rPr>
          <w:color w:val="000000"/>
        </w:rPr>
      </w:pPr>
      <w:r w:rsidRPr="00796A66">
        <w:rPr>
          <w:color w:val="000000"/>
        </w:rPr>
        <w:t>Согласно п. 20 информационной карты документации об Аукционе дата окончания срока подачи участниками аукциона запросов о разъяснении пол</w:t>
      </w:r>
      <w:r>
        <w:rPr>
          <w:color w:val="000000"/>
        </w:rPr>
        <w:t>ожений документации:        « 06 » февраля 2021 года.</w:t>
      </w:r>
    </w:p>
    <w:p w:rsidR="00796A66" w:rsidRPr="00796A66" w:rsidRDefault="00796A66" w:rsidP="00796A66">
      <w:pPr>
        <w:ind w:firstLine="709"/>
        <w:jc w:val="both"/>
        <w:rPr>
          <w:color w:val="000000"/>
        </w:rPr>
      </w:pPr>
      <w:r w:rsidRPr="00796A66">
        <w:rPr>
          <w:color w:val="000000"/>
        </w:rPr>
        <w:t>Дата и время окончания срока предоставления участникам аукциона разъяснений положений документации:</w:t>
      </w:r>
      <w:r>
        <w:rPr>
          <w:color w:val="000000"/>
        </w:rPr>
        <w:t xml:space="preserve"> « </w:t>
      </w:r>
      <w:r w:rsidRPr="00796A66">
        <w:rPr>
          <w:color w:val="000000"/>
        </w:rPr>
        <w:t>08 » февраля 2021 года  17 часов 00 минут</w:t>
      </w:r>
      <w:r>
        <w:rPr>
          <w:color w:val="000000"/>
        </w:rPr>
        <w:t>.</w:t>
      </w:r>
    </w:p>
    <w:p w:rsidR="00796A66" w:rsidRPr="00796A66" w:rsidRDefault="00796A66" w:rsidP="00796A66">
      <w:pPr>
        <w:ind w:firstLine="709"/>
        <w:jc w:val="both"/>
        <w:rPr>
          <w:color w:val="000000"/>
        </w:rPr>
      </w:pPr>
      <w:r w:rsidRPr="00796A66">
        <w:rPr>
          <w:color w:val="000000"/>
        </w:rPr>
        <w:t>Согласно п. 21 информационной карты документац</w:t>
      </w:r>
      <w:proofErr w:type="gramStart"/>
      <w:r w:rsidRPr="00796A66">
        <w:rPr>
          <w:color w:val="000000"/>
        </w:rPr>
        <w:t>ии Ау</w:t>
      </w:r>
      <w:proofErr w:type="gramEnd"/>
      <w:r w:rsidRPr="00796A66">
        <w:rPr>
          <w:color w:val="000000"/>
        </w:rPr>
        <w:t>кциона дата и время окончания срока подачи заявок на участие в  электронном аукционе:</w:t>
      </w:r>
      <w:r w:rsidRPr="00796A66">
        <w:t xml:space="preserve"> </w:t>
      </w:r>
      <w:r w:rsidRPr="00796A66">
        <w:rPr>
          <w:color w:val="000000"/>
        </w:rPr>
        <w:t>до 09 часов 00 минут «10 » февраля 2021 года.</w:t>
      </w:r>
    </w:p>
    <w:p w:rsidR="00796A66" w:rsidRDefault="00796A66" w:rsidP="00796A6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Таким образом, </w:t>
      </w:r>
      <w:r w:rsidR="001F4BD5">
        <w:rPr>
          <w:color w:val="000000"/>
        </w:rPr>
        <w:t xml:space="preserve">при окончании </w:t>
      </w:r>
      <w:r w:rsidR="001F4BD5" w:rsidRPr="001F4BD5">
        <w:rPr>
          <w:color w:val="000000"/>
        </w:rPr>
        <w:t>срока подачи заявок</w:t>
      </w:r>
      <w:r w:rsidR="001F4BD5">
        <w:rPr>
          <w:color w:val="000000"/>
        </w:rPr>
        <w:t xml:space="preserve"> </w:t>
      </w:r>
      <w:r w:rsidR="001F4BD5" w:rsidRPr="001F4BD5">
        <w:rPr>
          <w:color w:val="000000"/>
        </w:rPr>
        <w:t>«10 » февраля 2021 года</w:t>
      </w:r>
      <w:r w:rsidR="001F4BD5">
        <w:rPr>
          <w:color w:val="000000"/>
        </w:rPr>
        <w:t xml:space="preserve">, </w:t>
      </w:r>
      <w:r>
        <w:rPr>
          <w:color w:val="000000"/>
        </w:rPr>
        <w:t>последний день, когда участник вправе подать запрос «6» февраля 2021, Заказчик обязан на него ответить</w:t>
      </w:r>
      <w:r w:rsidR="001F4BD5">
        <w:rPr>
          <w:color w:val="000000"/>
        </w:rPr>
        <w:t xml:space="preserve"> до «8» февраля 2021 года.</w:t>
      </w:r>
    </w:p>
    <w:p w:rsidR="00AA4266" w:rsidRDefault="00796A66" w:rsidP="00796A66">
      <w:pPr>
        <w:ind w:firstLine="709"/>
        <w:jc w:val="both"/>
        <w:rPr>
          <w:color w:val="000000"/>
        </w:rPr>
      </w:pPr>
      <w:r w:rsidRPr="00796A66">
        <w:rPr>
          <w:color w:val="000000"/>
        </w:rPr>
        <w:t>При таких обстоятельствах довод жалобы признается необоснованным.</w:t>
      </w:r>
    </w:p>
    <w:p w:rsidR="009E5001" w:rsidRPr="009E5001" w:rsidRDefault="009E5001" w:rsidP="009E5001">
      <w:pPr>
        <w:ind w:firstLine="709"/>
        <w:jc w:val="both"/>
        <w:rPr>
          <w:color w:val="000000"/>
        </w:rPr>
      </w:pPr>
      <w:r w:rsidRPr="009E5001">
        <w:rPr>
          <w:color w:val="000000"/>
        </w:rPr>
        <w:t>Из жалобы Заявителя следует, что Заказчиком в составе документации об Аукционе неправомерно не размещен проект сметы контракта.</w:t>
      </w:r>
    </w:p>
    <w:p w:rsidR="009E5001" w:rsidRPr="009E5001" w:rsidRDefault="009E5001" w:rsidP="009E5001">
      <w:pPr>
        <w:ind w:firstLine="709"/>
        <w:jc w:val="both"/>
        <w:rPr>
          <w:color w:val="000000"/>
        </w:rPr>
      </w:pPr>
      <w:proofErr w:type="gramStart"/>
      <w:r w:rsidRPr="009E5001">
        <w:rPr>
          <w:color w:val="000000"/>
        </w:rPr>
        <w:t>В соответствии с частью 6.1 статьи 110.2 Закона о контрактной системе оплата выполненных работ осуществляется в пределах цены контрактов, предметом которых являются строительство, реконструкция объектов капитального строительства, в соответствии с их сметой в сроки и в размерах, которые установлены таким контрактом или графиком оплаты выполненных по контракту работ (при наличии) с учетом графика выполнения строительно-монтажных работ и фактически выполненных подрядчиком</w:t>
      </w:r>
      <w:proofErr w:type="gramEnd"/>
      <w:r w:rsidRPr="009E5001">
        <w:rPr>
          <w:color w:val="000000"/>
        </w:rPr>
        <w:t xml:space="preserve"> работ. При этом составление сметы такого контракта осуществляется в пределах цены контракта без </w:t>
      </w:r>
      <w:proofErr w:type="gramStart"/>
      <w:r w:rsidRPr="009E5001">
        <w:rPr>
          <w:color w:val="000000"/>
        </w:rPr>
        <w:t>использования</w:t>
      </w:r>
      <w:proofErr w:type="gramEnd"/>
      <w:r w:rsidRPr="009E5001">
        <w:rPr>
          <w:color w:val="000000"/>
        </w:rPr>
        <w:t xml:space="preserve"> предусмотренных проектной документацией в соответствии с Градостроительным кодексом Российской Федерации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9E5001" w:rsidRPr="009E5001" w:rsidRDefault="009E5001" w:rsidP="009E5001">
      <w:pPr>
        <w:ind w:firstLine="709"/>
        <w:jc w:val="both"/>
        <w:rPr>
          <w:color w:val="000000"/>
        </w:rPr>
      </w:pPr>
      <w:r w:rsidRPr="009E5001">
        <w:rPr>
          <w:color w:val="000000"/>
        </w:rPr>
        <w:t>Также частью 7 статьи 110.2 Закона о контрактной системе методики составления сметы контракта, графика оплаты выполненных по контракту работ, графика выполнения строительно-монтажных работ утверждаются уполномоченным Правительством Российской Федерации федеральным органом исполнительной власти.</w:t>
      </w:r>
    </w:p>
    <w:p w:rsidR="009E5001" w:rsidRPr="009E5001" w:rsidRDefault="009E5001" w:rsidP="009E5001">
      <w:pPr>
        <w:ind w:firstLine="709"/>
        <w:jc w:val="both"/>
        <w:rPr>
          <w:color w:val="000000"/>
        </w:rPr>
      </w:pPr>
      <w:r w:rsidRPr="009E5001">
        <w:rPr>
          <w:color w:val="000000"/>
        </w:rPr>
        <w:t>Согласно пункту 2 приложения N 2 "Методика составления сметы контракта, предметом которого являются строительство, реконструкция объектов капитального строительства" к приказу Министерства строительства и жилищно-коммунального хозяйства Российской Федерации от 23 декабря 2019 года N 841/</w:t>
      </w:r>
      <w:proofErr w:type="spellStart"/>
      <w:proofErr w:type="gramStart"/>
      <w:r w:rsidRPr="009E5001">
        <w:rPr>
          <w:color w:val="000000"/>
        </w:rPr>
        <w:t>пр</w:t>
      </w:r>
      <w:proofErr w:type="spellEnd"/>
      <w:proofErr w:type="gramEnd"/>
      <w:r w:rsidRPr="009E5001">
        <w:rPr>
          <w:color w:val="000000"/>
        </w:rPr>
        <w:t xml:space="preserve"> (далее - Методика) смета контракта на выполнение подрядных работ по строительству некапитальных строений и сооружений, а также других подрядных работ, указанных в разделе VI порядка определения </w:t>
      </w:r>
      <w:proofErr w:type="gramStart"/>
      <w:r w:rsidRPr="009E5001">
        <w:rPr>
          <w:color w:val="000000"/>
        </w:rPr>
        <w:t xml:space="preserve">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</w:t>
      </w:r>
      <w:r w:rsidRPr="009E5001">
        <w:rPr>
          <w:color w:val="000000"/>
        </w:rPr>
        <w:lastRenderedPageBreak/>
        <w:t>исключением территориального планирования) (далее - Порядок), по соглашению сторон контракта может быть составлена в соответствии с Методикой, если в составе документации о закупке размещен проект сметы контракта.</w:t>
      </w:r>
      <w:proofErr w:type="gramEnd"/>
    </w:p>
    <w:p w:rsidR="009E5001" w:rsidRPr="009E5001" w:rsidRDefault="009E5001" w:rsidP="009E5001">
      <w:pPr>
        <w:ind w:firstLine="709"/>
        <w:jc w:val="both"/>
        <w:rPr>
          <w:color w:val="000000"/>
        </w:rPr>
      </w:pPr>
      <w:proofErr w:type="gramStart"/>
      <w:r w:rsidRPr="009E5001">
        <w:rPr>
          <w:color w:val="000000"/>
        </w:rPr>
        <w:t>Пунктом 4 Методики установлено, что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порядке, установленном в порядке, проекта сметы контракта посредством указания цены каждого конструктивного решения (элемента), комплекса (вида) работ с учетом пропорционального снижения начальной (максимальной) цены контракта</w:t>
      </w:r>
      <w:proofErr w:type="gramEnd"/>
      <w:r w:rsidRPr="009E5001">
        <w:rPr>
          <w:color w:val="000000"/>
        </w:rPr>
        <w:t xml:space="preserve"> участником закупки, с которым заключается контракт.</w:t>
      </w:r>
    </w:p>
    <w:p w:rsidR="009E5001" w:rsidRPr="009E5001" w:rsidRDefault="009E5001" w:rsidP="009E5001">
      <w:pPr>
        <w:ind w:firstLine="709"/>
        <w:jc w:val="both"/>
        <w:rPr>
          <w:color w:val="000000"/>
        </w:rPr>
      </w:pPr>
      <w:r w:rsidRPr="009E5001">
        <w:rPr>
          <w:color w:val="000000"/>
        </w:rPr>
        <w:t xml:space="preserve">Согласно пункту 8 части 1 статьи 33 Закона о контрактной системе </w:t>
      </w:r>
      <w:proofErr w:type="gramStart"/>
      <w:r w:rsidRPr="009E5001">
        <w:rPr>
          <w:color w:val="000000"/>
        </w:rPr>
        <w:t>документация</w:t>
      </w:r>
      <w:proofErr w:type="gramEnd"/>
      <w:r w:rsidRPr="009E5001">
        <w:rPr>
          <w:color w:val="000000"/>
        </w:rPr>
        <w:t xml:space="preserve">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частями 16 и 16.1 статьи 34 Закона о контрактной системе, при которых предметом контракта </w:t>
      </w:r>
      <w:proofErr w:type="gramStart"/>
      <w:r w:rsidRPr="009E5001">
        <w:rPr>
          <w:color w:val="000000"/>
        </w:rPr>
        <w:t>является</w:t>
      </w:r>
      <w:proofErr w:type="gramEnd"/>
      <w:r w:rsidRPr="009E5001">
        <w:rPr>
          <w:color w:val="000000"/>
        </w:rPr>
        <w:t xml:space="preserve">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пунктов 1 - 3 части 33 Закона о контрактной системе.</w:t>
      </w:r>
    </w:p>
    <w:p w:rsidR="009E5001" w:rsidRPr="009E5001" w:rsidRDefault="009E5001" w:rsidP="009E5001">
      <w:pPr>
        <w:ind w:firstLine="709"/>
        <w:jc w:val="both"/>
        <w:rPr>
          <w:color w:val="000000"/>
        </w:rPr>
      </w:pPr>
      <w:r w:rsidRPr="009E5001">
        <w:rPr>
          <w:color w:val="000000"/>
        </w:rP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обязательной частью которой являются сметы.</w:t>
      </w:r>
    </w:p>
    <w:p w:rsidR="009E5001" w:rsidRPr="009E5001" w:rsidRDefault="009E5001" w:rsidP="009E5001">
      <w:pPr>
        <w:ind w:firstLine="709"/>
        <w:jc w:val="both"/>
        <w:rPr>
          <w:color w:val="000000"/>
        </w:rPr>
      </w:pPr>
      <w:r w:rsidRPr="009E5001">
        <w:rPr>
          <w:color w:val="000000"/>
        </w:rPr>
        <w:t xml:space="preserve">Из пояснений Заказчика следует, </w:t>
      </w:r>
      <w:r>
        <w:rPr>
          <w:color w:val="000000"/>
        </w:rPr>
        <w:t xml:space="preserve">что проект сметы контракта размещен в разделе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. «Обоснование 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М)ЦК, начальных цен единиц товара, работы, услуги на строительство здания со строительным залом и 4 ученическими кабинетами» документации об Аукционе.</w:t>
      </w:r>
    </w:p>
    <w:p w:rsidR="009E5001" w:rsidRPr="009E5001" w:rsidRDefault="009E5001" w:rsidP="009E5001">
      <w:pPr>
        <w:ind w:firstLine="709"/>
        <w:jc w:val="both"/>
        <w:rPr>
          <w:color w:val="000000"/>
        </w:rPr>
      </w:pPr>
      <w:r w:rsidRPr="009E5001">
        <w:rPr>
          <w:color w:val="000000"/>
        </w:rPr>
        <w:t>На рассмотрении жалобы представитель Заявителя не явился, не опроверг пояснения Заказчика и не представил доказательств, подтверждающих обоснованность довода.</w:t>
      </w:r>
    </w:p>
    <w:p w:rsidR="009E5001" w:rsidRPr="009E5001" w:rsidRDefault="009E5001" w:rsidP="006B1381">
      <w:pPr>
        <w:tabs>
          <w:tab w:val="left" w:pos="8931"/>
        </w:tabs>
        <w:ind w:firstLine="709"/>
        <w:jc w:val="both"/>
        <w:rPr>
          <w:color w:val="000000"/>
        </w:rPr>
      </w:pPr>
      <w:r w:rsidRPr="009E5001">
        <w:rPr>
          <w:color w:val="000000"/>
        </w:rPr>
        <w:t xml:space="preserve">Из жалобы Заявителя следует, что Документация не содержит перерасчет показателей сменой стоимости работ в текущем уровне цен, скорректированном на индекс </w:t>
      </w:r>
      <w:r w:rsidR="006B1381" w:rsidRPr="009E5001">
        <w:rPr>
          <w:color w:val="000000"/>
        </w:rPr>
        <w:t>учитывающий</w:t>
      </w:r>
      <w:r w:rsidRPr="009E5001">
        <w:rPr>
          <w:color w:val="000000"/>
        </w:rPr>
        <w:t xml:space="preserve"> инфляцию на период строительных работ. </w:t>
      </w:r>
    </w:p>
    <w:p w:rsidR="009E5001" w:rsidRPr="009E5001" w:rsidRDefault="009E5001" w:rsidP="009E5001">
      <w:pPr>
        <w:ind w:firstLine="709"/>
        <w:jc w:val="both"/>
      </w:pPr>
      <w:proofErr w:type="gramStart"/>
      <w:r w:rsidRPr="009E5001">
        <w:t>Согласно п.3 ч.8 ст. 99 Закона о контрактной системе органы внутреннего муниципального финансового контроля осуществляют контроль (за исключением контроля, предусмотренного частью 10 настоящей статьи) в отношении: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9E5001" w:rsidRPr="009E5001" w:rsidRDefault="009E5001" w:rsidP="009E5001">
      <w:pPr>
        <w:ind w:firstLine="709"/>
        <w:jc w:val="both"/>
      </w:pPr>
      <w:r w:rsidRPr="009E5001">
        <w:t>Таким образом, в полномочия Саратовского УФАС России не входит рассмотрение вопросов связанных с обоснованием начальной (максимальной) цены контракта.</w:t>
      </w:r>
    </w:p>
    <w:p w:rsidR="00FC7CE7" w:rsidRPr="007C730B" w:rsidRDefault="00FC7CE7" w:rsidP="00917E8E">
      <w:pPr>
        <w:ind w:firstLine="709"/>
        <w:jc w:val="both"/>
      </w:pPr>
      <w:r w:rsidRPr="007C730B">
        <w:t xml:space="preserve">Учитывая </w:t>
      </w:r>
      <w:proofErr w:type="gramStart"/>
      <w:r w:rsidRPr="007C730B">
        <w:t>вышеизложенное</w:t>
      </w:r>
      <w:proofErr w:type="gramEnd"/>
      <w:r w:rsidRPr="007C730B">
        <w:t xml:space="preserve"> и на основании ч. 8 ст. 106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Комиссия Саратовского УФАС России,</w:t>
      </w:r>
    </w:p>
    <w:p w:rsidR="00917E8E" w:rsidRPr="007C730B" w:rsidRDefault="00917E8E" w:rsidP="00917E8E">
      <w:pPr>
        <w:pStyle w:val="1"/>
        <w:jc w:val="center"/>
        <w:rPr>
          <w:b/>
        </w:rPr>
      </w:pPr>
    </w:p>
    <w:p w:rsidR="0072044E" w:rsidRPr="007C730B" w:rsidRDefault="0072044E" w:rsidP="00917E8E">
      <w:pPr>
        <w:pStyle w:val="1"/>
        <w:jc w:val="center"/>
        <w:rPr>
          <w:b/>
        </w:rPr>
      </w:pPr>
      <w:r w:rsidRPr="007C730B">
        <w:rPr>
          <w:b/>
        </w:rPr>
        <w:t>Р Е Ш И Л А:</w:t>
      </w:r>
    </w:p>
    <w:p w:rsidR="00917E8E" w:rsidRPr="007C730B" w:rsidRDefault="00917E8E" w:rsidP="00917E8E">
      <w:pPr>
        <w:pStyle w:val="3"/>
        <w:tabs>
          <w:tab w:val="left" w:pos="2595"/>
          <w:tab w:val="left" w:pos="3060"/>
        </w:tabs>
        <w:ind w:firstLine="851"/>
        <w:rPr>
          <w:sz w:val="24"/>
        </w:rPr>
      </w:pPr>
    </w:p>
    <w:p w:rsidR="0072044E" w:rsidRDefault="005D255E" w:rsidP="00917E8E">
      <w:pPr>
        <w:pStyle w:val="3"/>
        <w:tabs>
          <w:tab w:val="left" w:pos="2595"/>
          <w:tab w:val="left" w:pos="3060"/>
        </w:tabs>
        <w:ind w:firstLine="851"/>
        <w:rPr>
          <w:sz w:val="24"/>
        </w:rPr>
      </w:pPr>
      <w:r>
        <w:rPr>
          <w:sz w:val="24"/>
        </w:rPr>
        <w:t xml:space="preserve">1. </w:t>
      </w:r>
      <w:r w:rsidR="0072044E" w:rsidRPr="007C730B">
        <w:rPr>
          <w:sz w:val="24"/>
        </w:rPr>
        <w:t>Признать жалоб</w:t>
      </w:r>
      <w:proofErr w:type="gramStart"/>
      <w:r w:rsidR="0072044E" w:rsidRPr="007C730B">
        <w:rPr>
          <w:sz w:val="24"/>
        </w:rPr>
        <w:t xml:space="preserve">у </w:t>
      </w:r>
      <w:r w:rsidR="006B34A3" w:rsidRPr="006B34A3">
        <w:rPr>
          <w:sz w:val="24"/>
        </w:rPr>
        <w:t>ООО</w:t>
      </w:r>
      <w:proofErr w:type="gramEnd"/>
      <w:r w:rsidR="006B34A3" w:rsidRPr="006B34A3">
        <w:rPr>
          <w:sz w:val="24"/>
        </w:rPr>
        <w:t xml:space="preserve"> «</w:t>
      </w:r>
      <w:proofErr w:type="spellStart"/>
      <w:r w:rsidR="006B34A3" w:rsidRPr="006B34A3">
        <w:rPr>
          <w:sz w:val="24"/>
        </w:rPr>
        <w:t>ТехСтройПартнер</w:t>
      </w:r>
      <w:proofErr w:type="spellEnd"/>
      <w:r w:rsidR="006B34A3" w:rsidRPr="006B34A3">
        <w:rPr>
          <w:sz w:val="24"/>
        </w:rPr>
        <w:t>»</w:t>
      </w:r>
      <w:r w:rsidR="003D612F" w:rsidRPr="003D612F">
        <w:rPr>
          <w:sz w:val="24"/>
        </w:rPr>
        <w:t xml:space="preserve"> на действия Заказчика Администрации Репинского муниципального образования </w:t>
      </w:r>
      <w:proofErr w:type="spellStart"/>
      <w:r w:rsidR="003D612F" w:rsidRPr="003D612F">
        <w:rPr>
          <w:sz w:val="24"/>
        </w:rPr>
        <w:t>Балашовского</w:t>
      </w:r>
      <w:proofErr w:type="spellEnd"/>
      <w:r w:rsidR="003D612F" w:rsidRPr="003D612F">
        <w:rPr>
          <w:sz w:val="24"/>
        </w:rPr>
        <w:t xml:space="preserve"> муниципального района Саратовской области и Уполномоченного органа Администрации </w:t>
      </w:r>
      <w:proofErr w:type="spellStart"/>
      <w:r w:rsidR="003D612F" w:rsidRPr="003D612F">
        <w:rPr>
          <w:sz w:val="24"/>
        </w:rPr>
        <w:t>Балашовского</w:t>
      </w:r>
      <w:proofErr w:type="spellEnd"/>
      <w:r w:rsidR="003D612F" w:rsidRPr="003D612F">
        <w:rPr>
          <w:sz w:val="24"/>
        </w:rPr>
        <w:t xml:space="preserve"> муниципального района Саратовской области при проведении электронного аукциона № 0360300052821000027 «Строительство здания со спортивным залом и 4 учебными кабинетами»</w:t>
      </w:r>
      <w:r w:rsidR="00A67795">
        <w:rPr>
          <w:sz w:val="24"/>
        </w:rPr>
        <w:t xml:space="preserve"> </w:t>
      </w:r>
      <w:r w:rsidR="003660F9">
        <w:rPr>
          <w:sz w:val="24"/>
        </w:rPr>
        <w:t>не</w:t>
      </w:r>
      <w:bookmarkStart w:id="0" w:name="_GoBack"/>
      <w:bookmarkEnd w:id="0"/>
      <w:r w:rsidR="0072044E" w:rsidRPr="007C730B">
        <w:rPr>
          <w:sz w:val="24"/>
        </w:rPr>
        <w:t>обоснованной</w:t>
      </w:r>
      <w:r w:rsidR="00917E8E" w:rsidRPr="007C730B">
        <w:rPr>
          <w:sz w:val="24"/>
        </w:rPr>
        <w:t>.</w:t>
      </w:r>
      <w:r w:rsidR="0072044E" w:rsidRPr="007C730B">
        <w:rPr>
          <w:sz w:val="24"/>
        </w:rPr>
        <w:t xml:space="preserve"> </w:t>
      </w:r>
    </w:p>
    <w:p w:rsidR="00917E8E" w:rsidRPr="007C730B" w:rsidRDefault="006B34A3" w:rsidP="00917E8E">
      <w:pPr>
        <w:pStyle w:val="3"/>
        <w:tabs>
          <w:tab w:val="left" w:pos="2595"/>
          <w:tab w:val="left" w:pos="3060"/>
        </w:tabs>
        <w:ind w:firstLine="851"/>
        <w:rPr>
          <w:sz w:val="24"/>
        </w:rPr>
      </w:pPr>
      <w:r>
        <w:rPr>
          <w:sz w:val="24"/>
        </w:rPr>
        <w:lastRenderedPageBreak/>
        <w:t xml:space="preserve">2. </w:t>
      </w:r>
      <w:r w:rsidRPr="006B34A3">
        <w:rPr>
          <w:sz w:val="24"/>
        </w:rPr>
        <w:t>Передать жалоб</w:t>
      </w:r>
      <w:proofErr w:type="gramStart"/>
      <w:r w:rsidRPr="006B34A3">
        <w:rPr>
          <w:sz w:val="24"/>
        </w:rPr>
        <w:t>у ООО</w:t>
      </w:r>
      <w:proofErr w:type="gramEnd"/>
      <w:r w:rsidRPr="006B34A3">
        <w:rPr>
          <w:sz w:val="24"/>
        </w:rPr>
        <w:t xml:space="preserve"> «</w:t>
      </w:r>
      <w:proofErr w:type="spellStart"/>
      <w:r w:rsidRPr="006B34A3">
        <w:rPr>
          <w:sz w:val="24"/>
        </w:rPr>
        <w:t>ТехСтройПартнер</w:t>
      </w:r>
      <w:proofErr w:type="spellEnd"/>
      <w:r w:rsidRPr="006B34A3">
        <w:rPr>
          <w:sz w:val="24"/>
        </w:rPr>
        <w:t>» в части неверного обоснования начальной (максимальной) цены контракта в орган внутреннего муниципального финансового контроля.</w:t>
      </w:r>
    </w:p>
    <w:p w:rsidR="0072044E" w:rsidRPr="007C730B" w:rsidRDefault="0072044E" w:rsidP="0072044E">
      <w:pPr>
        <w:pStyle w:val="3"/>
        <w:tabs>
          <w:tab w:val="left" w:pos="2595"/>
          <w:tab w:val="left" w:pos="3060"/>
        </w:tabs>
        <w:ind w:firstLine="851"/>
        <w:rPr>
          <w:i/>
          <w:iCs/>
          <w:sz w:val="24"/>
        </w:rPr>
      </w:pPr>
      <w:r w:rsidRPr="007C730B">
        <w:rPr>
          <w:i/>
          <w:iCs/>
          <w:sz w:val="24"/>
        </w:rPr>
        <w:t>Настоящее решение может быть обжаловано в судебном порядке в течение трех месяцев с даты его принятия.</w:t>
      </w:r>
    </w:p>
    <w:p w:rsidR="0072044E" w:rsidRPr="0097250B" w:rsidRDefault="0072044E" w:rsidP="0072044E">
      <w:pPr>
        <w:pStyle w:val="3"/>
        <w:tabs>
          <w:tab w:val="left" w:pos="2595"/>
          <w:tab w:val="left" w:pos="3060"/>
        </w:tabs>
        <w:ind w:firstLine="851"/>
        <w:rPr>
          <w:i/>
          <w:iCs/>
          <w:sz w:val="24"/>
        </w:rPr>
      </w:pPr>
    </w:p>
    <w:sectPr w:rsidR="0072044E" w:rsidRPr="0097250B" w:rsidSect="00971FF0">
      <w:headerReference w:type="even" r:id="rId9"/>
      <w:headerReference w:type="default" r:id="rId10"/>
      <w:pgSz w:w="11906" w:h="16838" w:code="9"/>
      <w:pgMar w:top="720" w:right="720" w:bottom="851" w:left="156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75" w:rsidRDefault="00714575">
      <w:r>
        <w:separator/>
      </w:r>
    </w:p>
  </w:endnote>
  <w:endnote w:type="continuationSeparator" w:id="0">
    <w:p w:rsidR="00714575" w:rsidRDefault="0071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75" w:rsidRDefault="00714575">
      <w:r>
        <w:separator/>
      </w:r>
    </w:p>
  </w:footnote>
  <w:footnote w:type="continuationSeparator" w:id="0">
    <w:p w:rsidR="00714575" w:rsidRDefault="0071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F7" w:rsidRDefault="00EF24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5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7F7" w:rsidRDefault="007B57F7">
    <w:pPr>
      <w:pStyle w:val="a3"/>
    </w:pPr>
  </w:p>
  <w:p w:rsidR="007B57F7" w:rsidRDefault="007B57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F7" w:rsidRPr="004E2904" w:rsidRDefault="00EF2488" w:rsidP="00CF3C49">
    <w:pPr>
      <w:pStyle w:val="a3"/>
      <w:framePr w:wrap="around" w:vAnchor="text" w:hAnchor="page" w:x="6121" w:yAlign="inside"/>
      <w:jc w:val="center"/>
      <w:rPr>
        <w:rStyle w:val="a5"/>
        <w:sz w:val="18"/>
        <w:szCs w:val="18"/>
      </w:rPr>
    </w:pPr>
    <w:r w:rsidRPr="004E2904">
      <w:rPr>
        <w:rStyle w:val="a5"/>
        <w:sz w:val="18"/>
        <w:szCs w:val="18"/>
      </w:rPr>
      <w:fldChar w:fldCharType="begin"/>
    </w:r>
    <w:r w:rsidR="007B57F7" w:rsidRPr="004E2904">
      <w:rPr>
        <w:rStyle w:val="a5"/>
        <w:sz w:val="18"/>
        <w:szCs w:val="18"/>
      </w:rPr>
      <w:instrText xml:space="preserve">PAGE  </w:instrText>
    </w:r>
    <w:r w:rsidRPr="004E2904">
      <w:rPr>
        <w:rStyle w:val="a5"/>
        <w:sz w:val="18"/>
        <w:szCs w:val="18"/>
      </w:rPr>
      <w:fldChar w:fldCharType="separate"/>
    </w:r>
    <w:r w:rsidR="003660F9">
      <w:rPr>
        <w:rStyle w:val="a5"/>
        <w:noProof/>
        <w:sz w:val="18"/>
        <w:szCs w:val="18"/>
      </w:rPr>
      <w:t>3</w:t>
    </w:r>
    <w:r w:rsidRPr="004E2904">
      <w:rPr>
        <w:rStyle w:val="a5"/>
        <w:sz w:val="18"/>
        <w:szCs w:val="18"/>
      </w:rPr>
      <w:fldChar w:fldCharType="end"/>
    </w:r>
  </w:p>
  <w:p w:rsidR="007B57F7" w:rsidRDefault="007B57F7" w:rsidP="00F53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015"/>
    <w:rsid w:val="00027512"/>
    <w:rsid w:val="00030CE4"/>
    <w:rsid w:val="0003257C"/>
    <w:rsid w:val="00081217"/>
    <w:rsid w:val="000B18D0"/>
    <w:rsid w:val="000B190F"/>
    <w:rsid w:val="000C014D"/>
    <w:rsid w:val="000F7A73"/>
    <w:rsid w:val="0011098A"/>
    <w:rsid w:val="00116F11"/>
    <w:rsid w:val="00143085"/>
    <w:rsid w:val="001736C2"/>
    <w:rsid w:val="00182108"/>
    <w:rsid w:val="001A1707"/>
    <w:rsid w:val="001A334A"/>
    <w:rsid w:val="001A7E62"/>
    <w:rsid w:val="001C17AD"/>
    <w:rsid w:val="001C71A9"/>
    <w:rsid w:val="001D5FC8"/>
    <w:rsid w:val="001E012C"/>
    <w:rsid w:val="001E55EE"/>
    <w:rsid w:val="001F4BD5"/>
    <w:rsid w:val="0020638F"/>
    <w:rsid w:val="002154E7"/>
    <w:rsid w:val="002554A1"/>
    <w:rsid w:val="00291C93"/>
    <w:rsid w:val="002D7A60"/>
    <w:rsid w:val="0035051F"/>
    <w:rsid w:val="003642D9"/>
    <w:rsid w:val="003660F9"/>
    <w:rsid w:val="003A0129"/>
    <w:rsid w:val="003A26CB"/>
    <w:rsid w:val="003A6B1E"/>
    <w:rsid w:val="003D612F"/>
    <w:rsid w:val="003F4706"/>
    <w:rsid w:val="0040751B"/>
    <w:rsid w:val="00415C74"/>
    <w:rsid w:val="004315CF"/>
    <w:rsid w:val="00435D3D"/>
    <w:rsid w:val="00441A01"/>
    <w:rsid w:val="004444B1"/>
    <w:rsid w:val="004709F6"/>
    <w:rsid w:val="004A6479"/>
    <w:rsid w:val="004D209B"/>
    <w:rsid w:val="004D2510"/>
    <w:rsid w:val="004E6744"/>
    <w:rsid w:val="004F01A1"/>
    <w:rsid w:val="004F2C06"/>
    <w:rsid w:val="004F3ED1"/>
    <w:rsid w:val="00510E34"/>
    <w:rsid w:val="00536015"/>
    <w:rsid w:val="0054056D"/>
    <w:rsid w:val="00547894"/>
    <w:rsid w:val="00552081"/>
    <w:rsid w:val="005750C0"/>
    <w:rsid w:val="005D255E"/>
    <w:rsid w:val="005E08DA"/>
    <w:rsid w:val="005E2A4C"/>
    <w:rsid w:val="005F4C30"/>
    <w:rsid w:val="00600583"/>
    <w:rsid w:val="006013C9"/>
    <w:rsid w:val="00616049"/>
    <w:rsid w:val="0062226C"/>
    <w:rsid w:val="006223BC"/>
    <w:rsid w:val="00625F97"/>
    <w:rsid w:val="0063312E"/>
    <w:rsid w:val="00652D30"/>
    <w:rsid w:val="006643C8"/>
    <w:rsid w:val="00693EB2"/>
    <w:rsid w:val="006B1381"/>
    <w:rsid w:val="006B34A3"/>
    <w:rsid w:val="006C34C3"/>
    <w:rsid w:val="006F4641"/>
    <w:rsid w:val="006F7B35"/>
    <w:rsid w:val="00712CB8"/>
    <w:rsid w:val="00714575"/>
    <w:rsid w:val="0072044E"/>
    <w:rsid w:val="00725BEB"/>
    <w:rsid w:val="00736E0C"/>
    <w:rsid w:val="00796A66"/>
    <w:rsid w:val="00797628"/>
    <w:rsid w:val="007B57F7"/>
    <w:rsid w:val="007C730B"/>
    <w:rsid w:val="007D3D93"/>
    <w:rsid w:val="00801899"/>
    <w:rsid w:val="00822DD5"/>
    <w:rsid w:val="00841608"/>
    <w:rsid w:val="008566DB"/>
    <w:rsid w:val="008726AB"/>
    <w:rsid w:val="0088538C"/>
    <w:rsid w:val="0089519E"/>
    <w:rsid w:val="008B4AC8"/>
    <w:rsid w:val="008D2EAB"/>
    <w:rsid w:val="008E7370"/>
    <w:rsid w:val="00910D75"/>
    <w:rsid w:val="0091289D"/>
    <w:rsid w:val="00917E8E"/>
    <w:rsid w:val="009255F6"/>
    <w:rsid w:val="00931E08"/>
    <w:rsid w:val="00932433"/>
    <w:rsid w:val="00971FF0"/>
    <w:rsid w:val="0097250B"/>
    <w:rsid w:val="00972AC0"/>
    <w:rsid w:val="009A3EB9"/>
    <w:rsid w:val="009A7633"/>
    <w:rsid w:val="009E5001"/>
    <w:rsid w:val="00A10E99"/>
    <w:rsid w:val="00A41F36"/>
    <w:rsid w:val="00A47F90"/>
    <w:rsid w:val="00A67795"/>
    <w:rsid w:val="00AA4266"/>
    <w:rsid w:val="00AA5A5C"/>
    <w:rsid w:val="00B02AC5"/>
    <w:rsid w:val="00B27965"/>
    <w:rsid w:val="00B35EF8"/>
    <w:rsid w:val="00B43AAE"/>
    <w:rsid w:val="00B459CC"/>
    <w:rsid w:val="00B70568"/>
    <w:rsid w:val="00B85033"/>
    <w:rsid w:val="00BA7F80"/>
    <w:rsid w:val="00BE0AC2"/>
    <w:rsid w:val="00C22757"/>
    <w:rsid w:val="00C341C5"/>
    <w:rsid w:val="00C529D8"/>
    <w:rsid w:val="00C54E16"/>
    <w:rsid w:val="00CF3C49"/>
    <w:rsid w:val="00D05FE5"/>
    <w:rsid w:val="00D16A58"/>
    <w:rsid w:val="00D16E02"/>
    <w:rsid w:val="00D26B0C"/>
    <w:rsid w:val="00D84B7E"/>
    <w:rsid w:val="00DA0B3B"/>
    <w:rsid w:val="00DE6E80"/>
    <w:rsid w:val="00E17F41"/>
    <w:rsid w:val="00E23145"/>
    <w:rsid w:val="00E32252"/>
    <w:rsid w:val="00E47A40"/>
    <w:rsid w:val="00E97BC4"/>
    <w:rsid w:val="00EE17A5"/>
    <w:rsid w:val="00EF2488"/>
    <w:rsid w:val="00F02671"/>
    <w:rsid w:val="00F074ED"/>
    <w:rsid w:val="00F2792E"/>
    <w:rsid w:val="00F53651"/>
    <w:rsid w:val="00F636D9"/>
    <w:rsid w:val="00F949A9"/>
    <w:rsid w:val="00FC7CE7"/>
    <w:rsid w:val="00FD2C4E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899"/>
    <w:pPr>
      <w:keepNext/>
      <w:tabs>
        <w:tab w:val="left" w:pos="3060"/>
      </w:tabs>
      <w:jc w:val="both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8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0189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018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semiHidden/>
    <w:rsid w:val="00801899"/>
  </w:style>
  <w:style w:type="paragraph" w:styleId="3">
    <w:name w:val="Body Text 3"/>
    <w:basedOn w:val="a"/>
    <w:link w:val="30"/>
    <w:semiHidden/>
    <w:rsid w:val="00801899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8018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Title"/>
    <w:basedOn w:val="a"/>
    <w:link w:val="a7"/>
    <w:qFormat/>
    <w:rsid w:val="00801899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80189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E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5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36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3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160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C3C2-9709-4779-B2BE-407EAA4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Гречушкина Екатерина Игоревна</dc:creator>
  <cp:lastModifiedBy>Филимонова Татьяна Александровна</cp:lastModifiedBy>
  <cp:revision>43</cp:revision>
  <cp:lastPrinted>2021-02-17T15:45:00Z</cp:lastPrinted>
  <dcterms:created xsi:type="dcterms:W3CDTF">2021-01-14T14:21:00Z</dcterms:created>
  <dcterms:modified xsi:type="dcterms:W3CDTF">2021-02-18T13:43:00Z</dcterms:modified>
</cp:coreProperties>
</file>