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C5" w:rsidRPr="00906E2F" w:rsidRDefault="005272C5" w:rsidP="005272C5">
      <w:pPr>
        <w:ind w:left="5103"/>
        <w:outlineLvl w:val="0"/>
        <w:rPr>
          <w:spacing w:val="-6"/>
          <w:sz w:val="26"/>
          <w:szCs w:val="26"/>
        </w:rPr>
      </w:pPr>
    </w:p>
    <w:p w:rsidR="005272C5" w:rsidRPr="00906E2F" w:rsidRDefault="005272C5" w:rsidP="005272C5">
      <w:pPr>
        <w:ind w:left="5103"/>
        <w:outlineLvl w:val="0"/>
        <w:rPr>
          <w:spacing w:val="-6"/>
          <w:sz w:val="26"/>
          <w:szCs w:val="26"/>
        </w:rPr>
      </w:pPr>
    </w:p>
    <w:p w:rsidR="006A023D" w:rsidRPr="006A023D" w:rsidRDefault="006A023D" w:rsidP="006A023D">
      <w:pPr>
        <w:ind w:left="5103"/>
        <w:outlineLvl w:val="0"/>
        <w:rPr>
          <w:spacing w:val="-6"/>
          <w:sz w:val="26"/>
          <w:szCs w:val="26"/>
        </w:rPr>
      </w:pPr>
      <w:r w:rsidRPr="006A023D">
        <w:rPr>
          <w:spacing w:val="-6"/>
          <w:sz w:val="26"/>
          <w:szCs w:val="26"/>
        </w:rPr>
        <w:t>СПб ГБУ «Служба заказчика администрации Колпинского района Санкт-Петербурга»</w:t>
      </w:r>
    </w:p>
    <w:p w:rsidR="006A023D" w:rsidRPr="006A023D" w:rsidRDefault="006A023D" w:rsidP="006A023D">
      <w:pPr>
        <w:ind w:left="5103"/>
        <w:outlineLvl w:val="0"/>
        <w:rPr>
          <w:spacing w:val="-6"/>
          <w:sz w:val="26"/>
          <w:szCs w:val="26"/>
        </w:rPr>
      </w:pPr>
      <w:r w:rsidRPr="006A023D">
        <w:rPr>
          <w:spacing w:val="-6"/>
          <w:sz w:val="26"/>
          <w:szCs w:val="26"/>
        </w:rPr>
        <w:t>ул. Коммуны, д. 13, лит. А, Колпино,</w:t>
      </w:r>
    </w:p>
    <w:p w:rsidR="006A023D" w:rsidRPr="006A023D" w:rsidRDefault="006A023D" w:rsidP="006A023D">
      <w:pPr>
        <w:ind w:left="5103"/>
        <w:outlineLvl w:val="0"/>
        <w:rPr>
          <w:spacing w:val="-6"/>
          <w:sz w:val="26"/>
          <w:szCs w:val="26"/>
        </w:rPr>
      </w:pPr>
      <w:r w:rsidRPr="006A023D">
        <w:rPr>
          <w:spacing w:val="-6"/>
          <w:sz w:val="26"/>
          <w:szCs w:val="26"/>
        </w:rPr>
        <w:t>Санкт-Петербург, 196653</w:t>
      </w:r>
    </w:p>
    <w:p w:rsidR="006A023D" w:rsidRPr="006A023D" w:rsidRDefault="006A023D" w:rsidP="006A023D">
      <w:pPr>
        <w:ind w:left="5103"/>
        <w:outlineLvl w:val="0"/>
        <w:rPr>
          <w:spacing w:val="-6"/>
          <w:sz w:val="26"/>
          <w:szCs w:val="26"/>
        </w:rPr>
      </w:pPr>
      <w:r w:rsidRPr="006A023D">
        <w:rPr>
          <w:spacing w:val="-6"/>
          <w:sz w:val="26"/>
          <w:szCs w:val="26"/>
        </w:rPr>
        <w:t>тел.: 781-257-39284</w:t>
      </w:r>
    </w:p>
    <w:p w:rsidR="006A023D" w:rsidRPr="006A023D" w:rsidRDefault="006A023D" w:rsidP="006A023D">
      <w:pPr>
        <w:ind w:left="5103"/>
        <w:outlineLvl w:val="0"/>
        <w:rPr>
          <w:spacing w:val="-6"/>
          <w:sz w:val="26"/>
          <w:szCs w:val="26"/>
        </w:rPr>
      </w:pPr>
      <w:r w:rsidRPr="006A023D">
        <w:rPr>
          <w:spacing w:val="-6"/>
          <w:sz w:val="26"/>
          <w:szCs w:val="26"/>
        </w:rPr>
        <w:t xml:space="preserve">                                                                                           </w:t>
      </w:r>
    </w:p>
    <w:p w:rsidR="006A023D" w:rsidRPr="006A023D" w:rsidRDefault="006A023D" w:rsidP="006A023D">
      <w:pPr>
        <w:ind w:left="5103"/>
        <w:outlineLvl w:val="0"/>
        <w:rPr>
          <w:spacing w:val="-6"/>
          <w:sz w:val="26"/>
          <w:szCs w:val="26"/>
        </w:rPr>
      </w:pPr>
      <w:r w:rsidRPr="006A023D">
        <w:rPr>
          <w:spacing w:val="-6"/>
          <w:sz w:val="26"/>
          <w:szCs w:val="26"/>
        </w:rPr>
        <w:t xml:space="preserve">ГУП «Агентство по государственному </w:t>
      </w:r>
    </w:p>
    <w:p w:rsidR="006A023D" w:rsidRPr="006A023D" w:rsidRDefault="006A023D" w:rsidP="006A023D">
      <w:pPr>
        <w:ind w:left="5103"/>
        <w:outlineLvl w:val="0"/>
        <w:rPr>
          <w:spacing w:val="-6"/>
          <w:sz w:val="26"/>
          <w:szCs w:val="26"/>
        </w:rPr>
      </w:pPr>
      <w:r w:rsidRPr="006A023D">
        <w:rPr>
          <w:spacing w:val="-6"/>
          <w:sz w:val="26"/>
          <w:szCs w:val="26"/>
        </w:rPr>
        <w:t>заказу РТ»</w:t>
      </w:r>
    </w:p>
    <w:p w:rsidR="006A023D" w:rsidRPr="006A023D" w:rsidRDefault="006A023D" w:rsidP="006A023D">
      <w:pPr>
        <w:ind w:left="5103"/>
        <w:outlineLvl w:val="0"/>
        <w:rPr>
          <w:spacing w:val="-6"/>
          <w:sz w:val="26"/>
          <w:szCs w:val="26"/>
        </w:rPr>
      </w:pPr>
      <w:r w:rsidRPr="006A023D">
        <w:rPr>
          <w:spacing w:val="-6"/>
          <w:sz w:val="26"/>
          <w:szCs w:val="26"/>
        </w:rPr>
        <w:t xml:space="preserve">ул. Московская, д. 55, </w:t>
      </w:r>
    </w:p>
    <w:p w:rsidR="006A023D" w:rsidRPr="006A023D" w:rsidRDefault="006A023D" w:rsidP="006A023D">
      <w:pPr>
        <w:ind w:left="5103"/>
        <w:outlineLvl w:val="0"/>
        <w:rPr>
          <w:spacing w:val="-6"/>
          <w:sz w:val="26"/>
          <w:szCs w:val="26"/>
        </w:rPr>
      </w:pPr>
      <w:r w:rsidRPr="006A023D">
        <w:rPr>
          <w:spacing w:val="-6"/>
          <w:sz w:val="26"/>
          <w:szCs w:val="26"/>
        </w:rPr>
        <w:t>Казань, 420021</w:t>
      </w:r>
    </w:p>
    <w:p w:rsidR="006A023D" w:rsidRPr="006A023D" w:rsidRDefault="006A023D" w:rsidP="006A023D">
      <w:pPr>
        <w:ind w:left="5103"/>
        <w:outlineLvl w:val="0"/>
        <w:rPr>
          <w:spacing w:val="-6"/>
          <w:sz w:val="26"/>
          <w:szCs w:val="26"/>
        </w:rPr>
      </w:pPr>
      <w:r w:rsidRPr="006A023D">
        <w:rPr>
          <w:spacing w:val="-6"/>
          <w:sz w:val="26"/>
          <w:szCs w:val="26"/>
        </w:rPr>
        <w:t>факс: (843) 292-95-87</w:t>
      </w:r>
    </w:p>
    <w:p w:rsidR="006A023D" w:rsidRPr="006A023D" w:rsidRDefault="006A023D" w:rsidP="006A023D">
      <w:pPr>
        <w:ind w:left="5103"/>
        <w:outlineLvl w:val="0"/>
        <w:rPr>
          <w:spacing w:val="-6"/>
          <w:sz w:val="26"/>
          <w:szCs w:val="26"/>
        </w:rPr>
      </w:pPr>
    </w:p>
    <w:p w:rsidR="006A023D" w:rsidRPr="006A023D" w:rsidRDefault="006A023D" w:rsidP="006A023D">
      <w:pPr>
        <w:ind w:left="5103"/>
        <w:outlineLvl w:val="0"/>
        <w:rPr>
          <w:spacing w:val="-6"/>
          <w:sz w:val="26"/>
          <w:szCs w:val="26"/>
        </w:rPr>
      </w:pPr>
      <w:r w:rsidRPr="006A023D">
        <w:rPr>
          <w:spacing w:val="-6"/>
          <w:sz w:val="26"/>
          <w:szCs w:val="26"/>
        </w:rPr>
        <w:t>ООО «НПФ «Регулятор»</w:t>
      </w:r>
    </w:p>
    <w:p w:rsidR="006A023D" w:rsidRPr="006A023D" w:rsidRDefault="006A023D" w:rsidP="006A023D">
      <w:pPr>
        <w:ind w:left="5103"/>
        <w:outlineLvl w:val="0"/>
        <w:rPr>
          <w:spacing w:val="-6"/>
          <w:sz w:val="26"/>
          <w:szCs w:val="26"/>
        </w:rPr>
      </w:pPr>
      <w:r w:rsidRPr="006A023D">
        <w:rPr>
          <w:spacing w:val="-6"/>
          <w:sz w:val="26"/>
          <w:szCs w:val="26"/>
        </w:rPr>
        <w:t>Комендантский пр., д. 4, лит. А, оф. 402,</w:t>
      </w:r>
    </w:p>
    <w:p w:rsidR="006A023D" w:rsidRPr="006A023D" w:rsidRDefault="006A023D" w:rsidP="006A023D">
      <w:pPr>
        <w:ind w:left="5103"/>
        <w:outlineLvl w:val="0"/>
        <w:rPr>
          <w:spacing w:val="-6"/>
          <w:sz w:val="26"/>
          <w:szCs w:val="26"/>
        </w:rPr>
      </w:pPr>
      <w:r w:rsidRPr="006A023D">
        <w:rPr>
          <w:spacing w:val="-6"/>
          <w:sz w:val="26"/>
          <w:szCs w:val="26"/>
        </w:rPr>
        <w:t>Санкт-Петербург, 197227</w:t>
      </w:r>
    </w:p>
    <w:p w:rsidR="005272C5" w:rsidRPr="00906E2F" w:rsidRDefault="006A023D" w:rsidP="006A023D">
      <w:pPr>
        <w:ind w:left="5103"/>
        <w:outlineLvl w:val="0"/>
        <w:rPr>
          <w:sz w:val="26"/>
          <w:szCs w:val="26"/>
        </w:rPr>
      </w:pPr>
      <w:r w:rsidRPr="006A023D">
        <w:rPr>
          <w:spacing w:val="-6"/>
          <w:sz w:val="26"/>
          <w:szCs w:val="26"/>
        </w:rPr>
        <w:t>тел.: +7 (904) 331 53 53</w:t>
      </w:r>
    </w:p>
    <w:p w:rsidR="005272C5" w:rsidRPr="00906E2F" w:rsidRDefault="005272C5" w:rsidP="005272C5">
      <w:pPr>
        <w:ind w:left="5103"/>
        <w:outlineLvl w:val="0"/>
        <w:rPr>
          <w:sz w:val="26"/>
          <w:szCs w:val="26"/>
        </w:rPr>
      </w:pPr>
    </w:p>
    <w:p w:rsidR="005272C5" w:rsidRPr="00906E2F" w:rsidRDefault="005272C5" w:rsidP="005272C5">
      <w:pPr>
        <w:ind w:left="5103"/>
        <w:outlineLvl w:val="0"/>
        <w:rPr>
          <w:sz w:val="26"/>
          <w:szCs w:val="26"/>
        </w:rPr>
      </w:pPr>
    </w:p>
    <w:p w:rsidR="00906E2F" w:rsidRPr="00906E2F" w:rsidRDefault="00906E2F" w:rsidP="005272C5">
      <w:pPr>
        <w:ind w:left="5103"/>
        <w:outlineLvl w:val="0"/>
        <w:rPr>
          <w:sz w:val="26"/>
          <w:szCs w:val="26"/>
        </w:rPr>
      </w:pPr>
    </w:p>
    <w:p w:rsidR="005272C5" w:rsidRPr="00906E2F" w:rsidRDefault="005272C5" w:rsidP="005272C5">
      <w:pPr>
        <w:jc w:val="center"/>
        <w:outlineLvl w:val="0"/>
        <w:rPr>
          <w:sz w:val="26"/>
          <w:szCs w:val="26"/>
        </w:rPr>
      </w:pPr>
      <w:r w:rsidRPr="00906E2F">
        <w:rPr>
          <w:sz w:val="26"/>
          <w:szCs w:val="26"/>
        </w:rPr>
        <w:t>РЕШЕНИЕ</w:t>
      </w:r>
    </w:p>
    <w:p w:rsidR="005272C5" w:rsidRPr="00906E2F" w:rsidRDefault="005272C5" w:rsidP="005272C5">
      <w:pPr>
        <w:jc w:val="center"/>
        <w:rPr>
          <w:sz w:val="26"/>
          <w:szCs w:val="26"/>
        </w:rPr>
      </w:pPr>
      <w:r w:rsidRPr="00906E2F">
        <w:rPr>
          <w:sz w:val="26"/>
          <w:szCs w:val="26"/>
        </w:rPr>
        <w:t xml:space="preserve">по делу № </w:t>
      </w:r>
      <w:r w:rsidRPr="00906E2F">
        <w:rPr>
          <w:b/>
          <w:sz w:val="26"/>
          <w:szCs w:val="26"/>
        </w:rPr>
        <w:t>44</w:t>
      </w:r>
      <w:r w:rsidRPr="00906E2F">
        <w:rPr>
          <w:sz w:val="26"/>
          <w:szCs w:val="26"/>
        </w:rPr>
        <w:t>-</w:t>
      </w:r>
      <w:r w:rsidR="00EA273E" w:rsidRPr="00EA273E">
        <w:rPr>
          <w:b/>
          <w:sz w:val="26"/>
          <w:szCs w:val="26"/>
        </w:rPr>
        <w:t>572</w:t>
      </w:r>
      <w:bookmarkStart w:id="0" w:name="_GoBack"/>
      <w:bookmarkEnd w:id="0"/>
      <w:r w:rsidRPr="00906E2F">
        <w:rPr>
          <w:b/>
          <w:sz w:val="26"/>
          <w:szCs w:val="26"/>
        </w:rPr>
        <w:t>/21</w:t>
      </w:r>
      <w:r w:rsidRPr="00906E2F">
        <w:rPr>
          <w:sz w:val="26"/>
          <w:szCs w:val="26"/>
        </w:rPr>
        <w:t xml:space="preserve"> </w:t>
      </w:r>
    </w:p>
    <w:p w:rsidR="005272C5" w:rsidRPr="00906E2F" w:rsidRDefault="005272C5" w:rsidP="005272C5">
      <w:pPr>
        <w:jc w:val="center"/>
        <w:rPr>
          <w:sz w:val="26"/>
          <w:szCs w:val="26"/>
        </w:rPr>
      </w:pPr>
      <w:r w:rsidRPr="00906E2F">
        <w:rPr>
          <w:sz w:val="26"/>
          <w:szCs w:val="26"/>
        </w:rPr>
        <w:t>о нарушении законодательства о контрактной системе</w:t>
      </w:r>
    </w:p>
    <w:p w:rsidR="005272C5" w:rsidRPr="00906E2F" w:rsidRDefault="005272C5" w:rsidP="005272C5">
      <w:pPr>
        <w:ind w:firstLine="540"/>
        <w:jc w:val="both"/>
        <w:rPr>
          <w:sz w:val="26"/>
          <w:szCs w:val="26"/>
        </w:rPr>
      </w:pPr>
    </w:p>
    <w:p w:rsidR="005272C5" w:rsidRPr="00906E2F" w:rsidRDefault="005272C5" w:rsidP="005272C5">
      <w:pPr>
        <w:tabs>
          <w:tab w:val="left" w:pos="0"/>
        </w:tabs>
        <w:jc w:val="both"/>
        <w:rPr>
          <w:sz w:val="26"/>
          <w:szCs w:val="26"/>
        </w:rPr>
        <w:sectPr w:rsidR="005272C5" w:rsidRPr="00906E2F" w:rsidSect="0008010D">
          <w:headerReference w:type="even" r:id="rId6"/>
          <w:headerReference w:type="default" r:id="rId7"/>
          <w:pgSz w:w="11906" w:h="16838"/>
          <w:pgMar w:top="1134" w:right="1077" w:bottom="1361" w:left="1701" w:header="709" w:footer="709" w:gutter="0"/>
          <w:cols w:space="708"/>
          <w:titlePg/>
          <w:docGrid w:linePitch="360"/>
        </w:sectPr>
      </w:pPr>
    </w:p>
    <w:p w:rsidR="005272C5" w:rsidRPr="00906E2F" w:rsidRDefault="006A023D" w:rsidP="005272C5">
      <w:pPr>
        <w:tabs>
          <w:tab w:val="left" w:pos="0"/>
        </w:tabs>
        <w:jc w:val="both"/>
        <w:rPr>
          <w:sz w:val="26"/>
          <w:szCs w:val="26"/>
        </w:rPr>
      </w:pPr>
      <w:r>
        <w:rPr>
          <w:sz w:val="26"/>
          <w:szCs w:val="26"/>
        </w:rPr>
        <w:t>01.02</w:t>
      </w:r>
      <w:r w:rsidR="005272C5" w:rsidRPr="00906E2F">
        <w:rPr>
          <w:sz w:val="26"/>
          <w:szCs w:val="26"/>
        </w:rPr>
        <w:t xml:space="preserve">.2021 </w:t>
      </w:r>
    </w:p>
    <w:p w:rsidR="005272C5" w:rsidRPr="00906E2F" w:rsidRDefault="005272C5" w:rsidP="005272C5">
      <w:pPr>
        <w:tabs>
          <w:tab w:val="left" w:pos="0"/>
        </w:tabs>
        <w:jc w:val="right"/>
        <w:rPr>
          <w:sz w:val="26"/>
          <w:szCs w:val="26"/>
        </w:rPr>
        <w:sectPr w:rsidR="005272C5" w:rsidRPr="00906E2F" w:rsidSect="00910F1B">
          <w:type w:val="continuous"/>
          <w:pgSz w:w="11906" w:h="16838"/>
          <w:pgMar w:top="1134" w:right="1077" w:bottom="1361" w:left="1701" w:header="709" w:footer="709" w:gutter="0"/>
          <w:cols w:num="2" w:space="708"/>
          <w:titlePg/>
          <w:docGrid w:linePitch="360"/>
        </w:sectPr>
      </w:pPr>
      <w:r w:rsidRPr="00906E2F">
        <w:rPr>
          <w:sz w:val="26"/>
          <w:szCs w:val="26"/>
        </w:rPr>
        <w:t>Санкт-Петербург</w:t>
      </w:r>
    </w:p>
    <w:p w:rsidR="005272C5" w:rsidRPr="00906E2F" w:rsidRDefault="005272C5" w:rsidP="005272C5">
      <w:pPr>
        <w:tabs>
          <w:tab w:val="left" w:pos="0"/>
        </w:tabs>
        <w:jc w:val="both"/>
        <w:rPr>
          <w:sz w:val="26"/>
          <w:szCs w:val="26"/>
        </w:rPr>
      </w:pPr>
    </w:p>
    <w:p w:rsidR="005272C5" w:rsidRPr="00906E2F" w:rsidRDefault="005272C5" w:rsidP="005272C5">
      <w:pPr>
        <w:tabs>
          <w:tab w:val="left" w:pos="0"/>
        </w:tabs>
        <w:ind w:firstLine="709"/>
        <w:jc w:val="both"/>
        <w:rPr>
          <w:sz w:val="26"/>
          <w:szCs w:val="26"/>
        </w:rPr>
      </w:pPr>
      <w:r w:rsidRPr="00906E2F">
        <w:rPr>
          <w:sz w:val="26"/>
          <w:szCs w:val="26"/>
        </w:rPr>
        <w:t>Комиссия Санкт-Петербургского УФАС России по контролю в сфере закупок (далее – Комиссия УФАС)</w:t>
      </w:r>
    </w:p>
    <w:p w:rsidR="005272C5" w:rsidRPr="00906E2F" w:rsidRDefault="005272C5" w:rsidP="005272C5">
      <w:pPr>
        <w:tabs>
          <w:tab w:val="left" w:pos="0"/>
        </w:tabs>
        <w:ind w:firstLine="709"/>
        <w:jc w:val="both"/>
        <w:rPr>
          <w:spacing w:val="-6"/>
          <w:sz w:val="26"/>
          <w:szCs w:val="26"/>
        </w:rPr>
      </w:pPr>
      <w:r w:rsidRPr="00906E2F">
        <w:rPr>
          <w:spacing w:val="-6"/>
          <w:sz w:val="26"/>
          <w:szCs w:val="26"/>
        </w:rPr>
        <w:t>при участии представителей:</w:t>
      </w:r>
    </w:p>
    <w:p w:rsidR="005272C5" w:rsidRPr="00906E2F" w:rsidRDefault="005272C5" w:rsidP="005272C5">
      <w:pPr>
        <w:tabs>
          <w:tab w:val="left" w:pos="0"/>
        </w:tabs>
        <w:ind w:firstLine="709"/>
        <w:jc w:val="both"/>
        <w:rPr>
          <w:sz w:val="26"/>
          <w:szCs w:val="26"/>
        </w:rPr>
      </w:pPr>
      <w:r w:rsidRPr="00906E2F">
        <w:rPr>
          <w:sz w:val="26"/>
          <w:szCs w:val="26"/>
        </w:rPr>
        <w:t xml:space="preserve">СПб ГБСУСО </w:t>
      </w:r>
      <w:r w:rsidR="006A023D" w:rsidRPr="006A023D">
        <w:rPr>
          <w:spacing w:val="-6"/>
          <w:sz w:val="26"/>
          <w:szCs w:val="26"/>
        </w:rPr>
        <w:t>СПб ГБУ «Служба заказчика администрации Колпинского района Санкт-Петербурга»</w:t>
      </w:r>
      <w:r w:rsidR="006A023D" w:rsidRPr="00906E2F">
        <w:rPr>
          <w:sz w:val="26"/>
          <w:szCs w:val="26"/>
        </w:rPr>
        <w:t xml:space="preserve"> </w:t>
      </w:r>
      <w:r w:rsidRPr="00906E2F">
        <w:rPr>
          <w:sz w:val="26"/>
          <w:szCs w:val="26"/>
        </w:rPr>
        <w:t>(далее – Заказчик);</w:t>
      </w:r>
    </w:p>
    <w:p w:rsidR="00F037CA" w:rsidRDefault="00F037CA" w:rsidP="005272C5">
      <w:pPr>
        <w:tabs>
          <w:tab w:val="left" w:pos="0"/>
        </w:tabs>
        <w:ind w:firstLine="709"/>
        <w:jc w:val="both"/>
        <w:rPr>
          <w:sz w:val="26"/>
          <w:szCs w:val="26"/>
        </w:rPr>
      </w:pPr>
      <w:r w:rsidRPr="00F037CA">
        <w:rPr>
          <w:sz w:val="26"/>
          <w:szCs w:val="26"/>
        </w:rPr>
        <w:t xml:space="preserve">в отсутствие представителей </w:t>
      </w:r>
    </w:p>
    <w:p w:rsidR="005272C5" w:rsidRPr="00906E2F" w:rsidRDefault="006A023D" w:rsidP="005272C5">
      <w:pPr>
        <w:tabs>
          <w:tab w:val="left" w:pos="0"/>
        </w:tabs>
        <w:ind w:firstLine="709"/>
        <w:jc w:val="both"/>
        <w:rPr>
          <w:sz w:val="26"/>
          <w:szCs w:val="26"/>
        </w:rPr>
      </w:pPr>
      <w:r w:rsidRPr="006A023D">
        <w:rPr>
          <w:spacing w:val="-6"/>
          <w:sz w:val="26"/>
          <w:szCs w:val="26"/>
        </w:rPr>
        <w:t>ООО «НПФ «Регулятор»</w:t>
      </w:r>
      <w:r w:rsidR="00F037CA">
        <w:rPr>
          <w:sz w:val="26"/>
          <w:szCs w:val="26"/>
        </w:rPr>
        <w:t xml:space="preserve"> (далее – Заявитель),</w:t>
      </w:r>
      <w:r w:rsidR="00F037CA" w:rsidRPr="00F037CA">
        <w:rPr>
          <w:sz w:val="27"/>
          <w:szCs w:val="27"/>
        </w:rPr>
        <w:t xml:space="preserve"> </w:t>
      </w:r>
      <w:r w:rsidR="00F037CA" w:rsidRPr="00787C2D">
        <w:rPr>
          <w:sz w:val="27"/>
          <w:szCs w:val="27"/>
        </w:rPr>
        <w:t>надлежащим образом уведомленных о времени и месте заседания Комиссии УФАС</w:t>
      </w:r>
    </w:p>
    <w:p w:rsidR="005272C5" w:rsidRPr="00906E2F" w:rsidRDefault="005272C5" w:rsidP="005272C5">
      <w:pPr>
        <w:tabs>
          <w:tab w:val="left" w:pos="0"/>
        </w:tabs>
        <w:ind w:firstLine="709"/>
        <w:jc w:val="both"/>
        <w:rPr>
          <w:sz w:val="26"/>
          <w:szCs w:val="26"/>
        </w:rPr>
      </w:pPr>
      <w:r w:rsidRPr="00906E2F">
        <w:rPr>
          <w:sz w:val="26"/>
          <w:szCs w:val="26"/>
        </w:rPr>
        <w:t xml:space="preserve">рассмотрев жалобу Заявителя (вх. № </w:t>
      </w:r>
      <w:r w:rsidR="006A023D" w:rsidRPr="006A023D">
        <w:rPr>
          <w:sz w:val="26"/>
          <w:szCs w:val="26"/>
        </w:rPr>
        <w:t>2587-ЭП/21 от 26.01.2021</w:t>
      </w:r>
      <w:r w:rsidRPr="00906E2F">
        <w:rPr>
          <w:sz w:val="26"/>
          <w:szCs w:val="26"/>
        </w:rPr>
        <w:t xml:space="preserve">) на действия аукционной комиссии Заказчика при определении поставщика (подрядчика, исполнителя) путем проведения электронного аукциона на </w:t>
      </w:r>
      <w:r w:rsidR="006A023D" w:rsidRPr="006A023D">
        <w:rPr>
          <w:sz w:val="26"/>
          <w:szCs w:val="26"/>
        </w:rPr>
        <w:t xml:space="preserve">выполнение работ по ремонту помещений СПб ГБУ «Служба заказчика» по адресу: Санкт-Петербург, г. Колпино, ул. Коммуны, д. 13, литер А, пом. 4-Н (извещение </w:t>
      </w:r>
      <w:r w:rsidR="006A023D">
        <w:rPr>
          <w:sz w:val="26"/>
          <w:szCs w:val="26"/>
        </w:rPr>
        <w:t xml:space="preserve">                                                                    </w:t>
      </w:r>
      <w:r w:rsidR="006A023D" w:rsidRPr="006A023D">
        <w:rPr>
          <w:sz w:val="26"/>
          <w:szCs w:val="26"/>
        </w:rPr>
        <w:t>№ 0372200139721000001)</w:t>
      </w:r>
      <w:r w:rsidRPr="00906E2F">
        <w:rPr>
          <w:sz w:val="26"/>
          <w:szCs w:val="26"/>
        </w:rPr>
        <w:t xml:space="preserve">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w:t>
      </w:r>
      <w:r w:rsidRPr="00906E2F">
        <w:rPr>
          <w:sz w:val="26"/>
          <w:szCs w:val="26"/>
        </w:rPr>
        <w:lastRenderedPageBreak/>
        <w:t>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5272C5" w:rsidRPr="00906E2F" w:rsidRDefault="005272C5" w:rsidP="005272C5">
      <w:pPr>
        <w:jc w:val="center"/>
        <w:rPr>
          <w:sz w:val="26"/>
          <w:szCs w:val="26"/>
        </w:rPr>
      </w:pPr>
    </w:p>
    <w:p w:rsidR="005272C5" w:rsidRPr="00906E2F" w:rsidRDefault="005272C5" w:rsidP="005272C5">
      <w:pPr>
        <w:jc w:val="center"/>
        <w:rPr>
          <w:sz w:val="26"/>
          <w:szCs w:val="26"/>
        </w:rPr>
      </w:pPr>
      <w:r w:rsidRPr="00906E2F">
        <w:rPr>
          <w:sz w:val="26"/>
          <w:szCs w:val="26"/>
        </w:rPr>
        <w:t>УСТАНОВИЛА:</w:t>
      </w:r>
    </w:p>
    <w:p w:rsidR="005272C5" w:rsidRPr="00906E2F" w:rsidRDefault="005272C5" w:rsidP="005272C5">
      <w:pPr>
        <w:autoSpaceDE w:val="0"/>
        <w:autoSpaceDN w:val="0"/>
        <w:adjustRightInd w:val="0"/>
        <w:jc w:val="both"/>
        <w:outlineLvl w:val="1"/>
        <w:rPr>
          <w:sz w:val="26"/>
          <w:szCs w:val="26"/>
        </w:rPr>
      </w:pP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Извещение о проведении эл</w:t>
      </w:r>
      <w:r w:rsidR="006A023D">
        <w:rPr>
          <w:sz w:val="26"/>
          <w:szCs w:val="26"/>
        </w:rPr>
        <w:t>ектронного аукциона размещено 11.01.2021</w:t>
      </w:r>
      <w:r w:rsidRPr="00906E2F">
        <w:rPr>
          <w:sz w:val="26"/>
          <w:szCs w:val="26"/>
        </w:rPr>
        <w:t xml:space="preserve"> на Официальном сайте Единой информационной системы в сфере закупок www.zakupki.gov.ru, номер извещения </w:t>
      </w:r>
      <w:r w:rsidR="006A023D" w:rsidRPr="006A023D">
        <w:rPr>
          <w:sz w:val="26"/>
          <w:szCs w:val="26"/>
        </w:rPr>
        <w:t>0372200139721000001</w:t>
      </w:r>
      <w:r w:rsidRPr="00906E2F">
        <w:rPr>
          <w:sz w:val="26"/>
          <w:szCs w:val="26"/>
        </w:rPr>
        <w:t xml:space="preserve">. Начальная (максимальная) цена контракта – </w:t>
      </w:r>
      <w:r w:rsidR="006A023D" w:rsidRPr="006A023D">
        <w:rPr>
          <w:sz w:val="26"/>
          <w:szCs w:val="26"/>
        </w:rPr>
        <w:t>2 110 284,00</w:t>
      </w:r>
      <w:r w:rsidRPr="00906E2F">
        <w:rPr>
          <w:sz w:val="26"/>
          <w:szCs w:val="26"/>
        </w:rPr>
        <w:t xml:space="preserve"> рублей.</w:t>
      </w:r>
    </w:p>
    <w:p w:rsidR="005272C5" w:rsidRPr="00906E2F" w:rsidRDefault="005272C5" w:rsidP="00F037CA">
      <w:pPr>
        <w:autoSpaceDE w:val="0"/>
        <w:autoSpaceDN w:val="0"/>
        <w:adjustRightInd w:val="0"/>
        <w:ind w:firstLine="708"/>
        <w:jc w:val="both"/>
        <w:outlineLvl w:val="1"/>
        <w:rPr>
          <w:sz w:val="26"/>
          <w:szCs w:val="26"/>
        </w:rPr>
      </w:pPr>
      <w:r w:rsidRPr="00906E2F">
        <w:rPr>
          <w:sz w:val="26"/>
          <w:szCs w:val="26"/>
        </w:rPr>
        <w:t xml:space="preserve">В жалобе </w:t>
      </w:r>
      <w:r w:rsidR="00452891" w:rsidRPr="00452891">
        <w:rPr>
          <w:sz w:val="26"/>
          <w:szCs w:val="26"/>
        </w:rPr>
        <w:t>ООО «НПФ «Регулятор»</w:t>
      </w:r>
      <w:r w:rsidRPr="00906E2F">
        <w:rPr>
          <w:sz w:val="26"/>
          <w:szCs w:val="26"/>
        </w:rPr>
        <w:t xml:space="preserve"> указывает на неправомерные действия аукционной комиссии Заказчика, выразившиеся, по мнению Заявителя, в неправомерном отказе ему в допуске к участию в электронном аукционе по результатам рассмотрения первых частей заявок.</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Заказчик с доводами жалобы не согласен и считает ее необоснованной.</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В соответствии с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Согласно ч. 4 ст. 67 Закона о контрактной системе участник электронного аукциона не допускается к участию в нем в случае: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1) непредоставления информации, предусмотренной ч. 3 ст. 66 Закона о контрактной системе, или предоставления недостоверной информации;</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2) несоответствия информации, предусмотренной ч. 3 ст. 66 Закона о контрактной системе, требованиям документации о таком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Отказ в допуске к участию в электронном аукционе по иным основаниям в соответствии с ч. 5 ст. 67 Закона о контрактной системе не допускается.</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xml:space="preserve">Согласно ч.ч. 6 и 7 ст. 67 Закона о контрактной системе по результатам рассмотрения первых частей заявок на участие в электронном аукционе аукционная </w:t>
      </w:r>
      <w:r w:rsidRPr="00906E2F">
        <w:rPr>
          <w:sz w:val="26"/>
          <w:szCs w:val="26"/>
        </w:rPr>
        <w:lastRenderedPageBreak/>
        <w:t>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1) об идентификационных номерах заявок на участие в таком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xml:space="preserve">Согласно сведениям протокола рассмотрения заявок на участие в электронном аукционе от </w:t>
      </w:r>
      <w:r w:rsidR="00452891" w:rsidRPr="00452891">
        <w:rPr>
          <w:sz w:val="26"/>
          <w:szCs w:val="26"/>
        </w:rPr>
        <w:t>22</w:t>
      </w:r>
      <w:r w:rsidR="00452891">
        <w:rPr>
          <w:sz w:val="26"/>
          <w:szCs w:val="26"/>
        </w:rPr>
        <w:t>.01.2021 №0372200139721000001-1</w:t>
      </w:r>
      <w:r w:rsidRPr="00906E2F">
        <w:rPr>
          <w:sz w:val="26"/>
          <w:szCs w:val="26"/>
        </w:rPr>
        <w:t>, Заявителю отказано в допуске к участию в электронном аукционе в соответствии с п. 2 ч. 4 ст. 67 Закона о контрактной системе по следующим основаниям:</w:t>
      </w:r>
    </w:p>
    <w:p w:rsidR="00452891" w:rsidRPr="00452891" w:rsidRDefault="00452891" w:rsidP="00452891">
      <w:pPr>
        <w:autoSpaceDE w:val="0"/>
        <w:autoSpaceDN w:val="0"/>
        <w:adjustRightInd w:val="0"/>
        <w:ind w:firstLine="708"/>
        <w:jc w:val="both"/>
        <w:outlineLvl w:val="1"/>
        <w:rPr>
          <w:i/>
          <w:sz w:val="26"/>
          <w:szCs w:val="26"/>
        </w:rPr>
      </w:pPr>
      <w:r>
        <w:rPr>
          <w:i/>
          <w:sz w:val="26"/>
          <w:szCs w:val="26"/>
        </w:rPr>
        <w:t>«</w:t>
      </w:r>
      <w:r w:rsidRPr="00452891">
        <w:rPr>
          <w:i/>
          <w:sz w:val="26"/>
          <w:szCs w:val="26"/>
        </w:rPr>
        <w:t>1) В соответствии с пунктом 2 части 4 статьи 67 Закона о контрактной системе участник электронного аукциона не допускается к участию в нем в случае несоответствия информации, предусмотренной частью 3 статьи 66 Закона о контрактной системе, требованиям документации о таком аукционе.</w:t>
      </w:r>
    </w:p>
    <w:p w:rsidR="00452891" w:rsidRPr="00452891" w:rsidRDefault="00452891" w:rsidP="00452891">
      <w:pPr>
        <w:autoSpaceDE w:val="0"/>
        <w:autoSpaceDN w:val="0"/>
        <w:adjustRightInd w:val="0"/>
        <w:ind w:firstLine="708"/>
        <w:jc w:val="both"/>
        <w:outlineLvl w:val="1"/>
        <w:rPr>
          <w:i/>
          <w:sz w:val="26"/>
          <w:szCs w:val="26"/>
        </w:rPr>
      </w:pPr>
    </w:p>
    <w:p w:rsidR="00452891" w:rsidRPr="00452891" w:rsidRDefault="00452891" w:rsidP="00452891">
      <w:pPr>
        <w:autoSpaceDE w:val="0"/>
        <w:autoSpaceDN w:val="0"/>
        <w:adjustRightInd w:val="0"/>
        <w:ind w:firstLine="708"/>
        <w:jc w:val="both"/>
        <w:outlineLvl w:val="1"/>
        <w:rPr>
          <w:i/>
          <w:sz w:val="26"/>
          <w:szCs w:val="26"/>
        </w:rPr>
      </w:pPr>
      <w:r w:rsidRPr="00452891">
        <w:rPr>
          <w:i/>
          <w:sz w:val="26"/>
          <w:szCs w:val="26"/>
        </w:rPr>
        <w:t>Согласно п. 3.1.3 раздела 3 части I и части II «Информационная карта аукциона» документации об аукционе, первая часть заявки на участие в электронном аукционе должна содержать, в том числе, сведения о конкретных показателях товаров (материалов), соответствующие значениям, установленным документацией об электронном аукционе (Приложение № 2 к Техническому заданию).</w:t>
      </w:r>
    </w:p>
    <w:p w:rsidR="00452891" w:rsidRPr="00452891" w:rsidRDefault="00452891" w:rsidP="00452891">
      <w:pPr>
        <w:autoSpaceDE w:val="0"/>
        <w:autoSpaceDN w:val="0"/>
        <w:adjustRightInd w:val="0"/>
        <w:ind w:firstLine="708"/>
        <w:jc w:val="both"/>
        <w:outlineLvl w:val="1"/>
        <w:rPr>
          <w:i/>
          <w:sz w:val="26"/>
          <w:szCs w:val="26"/>
        </w:rPr>
      </w:pPr>
    </w:p>
    <w:p w:rsidR="00452891" w:rsidRPr="00452891" w:rsidRDefault="00452891" w:rsidP="00452891">
      <w:pPr>
        <w:autoSpaceDE w:val="0"/>
        <w:autoSpaceDN w:val="0"/>
        <w:adjustRightInd w:val="0"/>
        <w:ind w:firstLine="708"/>
        <w:jc w:val="both"/>
        <w:outlineLvl w:val="1"/>
        <w:rPr>
          <w:i/>
          <w:sz w:val="26"/>
          <w:szCs w:val="26"/>
        </w:rPr>
      </w:pPr>
      <w:r w:rsidRPr="00452891">
        <w:rPr>
          <w:i/>
          <w:sz w:val="26"/>
          <w:szCs w:val="26"/>
        </w:rPr>
        <w:t>1.1) В Приложении № 2 к Техническому заданию аукционной документации по позиции № 4 «Система очистки воды» установлены, в том числе, следующие требования: «Количество литров воды очищенной до замены картриджа: не меньше 10000 литров».</w:t>
      </w:r>
    </w:p>
    <w:p w:rsidR="00452891" w:rsidRPr="00452891" w:rsidRDefault="00452891" w:rsidP="00452891">
      <w:pPr>
        <w:autoSpaceDE w:val="0"/>
        <w:autoSpaceDN w:val="0"/>
        <w:adjustRightInd w:val="0"/>
        <w:ind w:firstLine="708"/>
        <w:jc w:val="both"/>
        <w:outlineLvl w:val="1"/>
        <w:rPr>
          <w:i/>
          <w:sz w:val="26"/>
          <w:szCs w:val="26"/>
        </w:rPr>
      </w:pPr>
    </w:p>
    <w:p w:rsidR="00452891" w:rsidRPr="00452891" w:rsidRDefault="00452891" w:rsidP="00452891">
      <w:pPr>
        <w:autoSpaceDE w:val="0"/>
        <w:autoSpaceDN w:val="0"/>
        <w:adjustRightInd w:val="0"/>
        <w:ind w:firstLine="708"/>
        <w:jc w:val="both"/>
        <w:outlineLvl w:val="1"/>
        <w:rPr>
          <w:i/>
          <w:sz w:val="26"/>
          <w:szCs w:val="26"/>
        </w:rPr>
      </w:pPr>
      <w:r w:rsidRPr="00452891">
        <w:rPr>
          <w:i/>
          <w:sz w:val="26"/>
          <w:szCs w:val="26"/>
        </w:rPr>
        <w:lastRenderedPageBreak/>
        <w:t>В заявке участник закупки предоставил по позиции по позиции № 4 «Система очистки воды», в том числе, следующие сведения: «Количество литров воды очищенной до замены картриджа: 10000 литров».</w:t>
      </w:r>
    </w:p>
    <w:p w:rsidR="00452891" w:rsidRPr="00452891" w:rsidRDefault="00452891" w:rsidP="00452891">
      <w:pPr>
        <w:autoSpaceDE w:val="0"/>
        <w:autoSpaceDN w:val="0"/>
        <w:adjustRightInd w:val="0"/>
        <w:ind w:firstLine="708"/>
        <w:jc w:val="both"/>
        <w:outlineLvl w:val="1"/>
        <w:rPr>
          <w:i/>
          <w:sz w:val="26"/>
          <w:szCs w:val="26"/>
        </w:rPr>
      </w:pPr>
    </w:p>
    <w:p w:rsidR="00452891" w:rsidRPr="00452891" w:rsidRDefault="00452891" w:rsidP="00452891">
      <w:pPr>
        <w:autoSpaceDE w:val="0"/>
        <w:autoSpaceDN w:val="0"/>
        <w:adjustRightInd w:val="0"/>
        <w:ind w:firstLine="708"/>
        <w:jc w:val="both"/>
        <w:outlineLvl w:val="1"/>
        <w:rPr>
          <w:i/>
          <w:sz w:val="26"/>
          <w:szCs w:val="26"/>
        </w:rPr>
      </w:pPr>
      <w:r w:rsidRPr="00452891">
        <w:rPr>
          <w:i/>
          <w:sz w:val="26"/>
          <w:szCs w:val="26"/>
        </w:rPr>
        <w:t xml:space="preserve">При этом, в соответствии с инструкцией по заполнению первой части заявки на участие в электронном аукционе: </w:t>
      </w:r>
    </w:p>
    <w:p w:rsidR="00452891" w:rsidRPr="00452891" w:rsidRDefault="00452891" w:rsidP="00452891">
      <w:pPr>
        <w:autoSpaceDE w:val="0"/>
        <w:autoSpaceDN w:val="0"/>
        <w:adjustRightInd w:val="0"/>
        <w:ind w:firstLine="708"/>
        <w:jc w:val="both"/>
        <w:outlineLvl w:val="1"/>
        <w:rPr>
          <w:i/>
          <w:sz w:val="26"/>
          <w:szCs w:val="26"/>
        </w:rPr>
      </w:pPr>
      <w:r w:rsidRPr="00452891">
        <w:rPr>
          <w:i/>
          <w:sz w:val="26"/>
          <w:szCs w:val="26"/>
        </w:rPr>
        <w:t>В случае установления единицы измерения показателя в его наименовании, участник должен предоставить значение такого показателя без изменений.</w:t>
      </w:r>
    </w:p>
    <w:p w:rsidR="00452891" w:rsidRPr="00452891" w:rsidRDefault="00452891" w:rsidP="00452891">
      <w:pPr>
        <w:autoSpaceDE w:val="0"/>
        <w:autoSpaceDN w:val="0"/>
        <w:adjustRightInd w:val="0"/>
        <w:ind w:firstLine="708"/>
        <w:jc w:val="both"/>
        <w:outlineLvl w:val="1"/>
        <w:rPr>
          <w:i/>
          <w:sz w:val="26"/>
          <w:szCs w:val="26"/>
        </w:rPr>
      </w:pPr>
    </w:p>
    <w:p w:rsidR="005272C5" w:rsidRPr="00906E2F" w:rsidRDefault="00452891" w:rsidP="00452891">
      <w:pPr>
        <w:autoSpaceDE w:val="0"/>
        <w:autoSpaceDN w:val="0"/>
        <w:adjustRightInd w:val="0"/>
        <w:ind w:firstLine="708"/>
        <w:jc w:val="both"/>
        <w:outlineLvl w:val="1"/>
        <w:rPr>
          <w:i/>
          <w:sz w:val="26"/>
          <w:szCs w:val="26"/>
        </w:rPr>
      </w:pPr>
      <w:r w:rsidRPr="00452891">
        <w:rPr>
          <w:i/>
          <w:sz w:val="26"/>
          <w:szCs w:val="26"/>
        </w:rPr>
        <w:t>Таким образом, предоставив по позиции № 4 «Система очистки воды» значение показателя «Количество литров воды очищенной до замены картриджа», не в соответствии с инструкцией по заполнению первой части заявки на участие в электронном аукционе, участник закупки предоставил сведения, несоответствующие требованиям документации об электронном аукционе.</w:t>
      </w:r>
      <w:r>
        <w:rPr>
          <w:i/>
          <w:sz w:val="26"/>
          <w:szCs w:val="26"/>
        </w:rPr>
        <w:t>»</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В соответствии с ч. 3 ст. 66 Закона о контрактной системе при осуществлении закупки товара или закупки работы, услуги, для выполнения, оказания которых используется товар первая часть заявки на участие в электронном аукционе должна содержать:</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 14 Закона о контрактной системе);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 (п. 2 ч. 1 ст. 64 Закона о контрактной системе).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Действующим законодательством о контрактной системе не установлено четких критериев и требований к инструкции по заполнению заявки на участие в аукционе.</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xml:space="preserve">Указывая минимальные, максимальные значения показателей товаров, а также значения показателей товаров, которые не могут изменяться, заказчик тем </w:t>
      </w:r>
      <w:r w:rsidRPr="00906E2F">
        <w:rPr>
          <w:sz w:val="26"/>
          <w:szCs w:val="26"/>
        </w:rPr>
        <w:lastRenderedPageBreak/>
        <w:t>самым определяет требования к содержанию первых частей заявок. При этом заказчик должен учитывать запрет, установленный п. 2 ч. 1 ст. 64 Закона о контрактной системе на установление требований к содержанию заявок, ограничивающих круг участников, а также необходимость разработки инструкции, позволяющей заполнить первую часть заявки в соответствии с потребностями заказчика.</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1) указать на раздел и (или) пункт документации о закупке, в котором содержатся показатели, предусмотренные ч. 2 ст. 33 Закона о контрактной системе, в отношении которых участники закупки делают предложение в своих заявках;</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Соблюдение данных требований и запретов направлено на исключение возможности субъективного восприятия требований заказчика участниками закупки и членами аукционной комиссии.</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Согласно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52649F" w:rsidRPr="00906E2F" w:rsidRDefault="005272C5" w:rsidP="0052649F">
      <w:pPr>
        <w:autoSpaceDE w:val="0"/>
        <w:autoSpaceDN w:val="0"/>
        <w:adjustRightInd w:val="0"/>
        <w:ind w:firstLine="708"/>
        <w:jc w:val="both"/>
        <w:outlineLvl w:val="1"/>
        <w:rPr>
          <w:i/>
          <w:sz w:val="26"/>
          <w:szCs w:val="26"/>
        </w:rPr>
      </w:pPr>
      <w:r w:rsidRPr="00906E2F">
        <w:rPr>
          <w:sz w:val="26"/>
          <w:szCs w:val="26"/>
        </w:rPr>
        <w:t>На заседании Комиссии УФАС</w:t>
      </w:r>
      <w:r w:rsidR="00452891">
        <w:rPr>
          <w:sz w:val="26"/>
          <w:szCs w:val="26"/>
        </w:rPr>
        <w:t xml:space="preserve"> установлено, что Приложение № 2</w:t>
      </w:r>
      <w:r w:rsidRPr="00906E2F">
        <w:rPr>
          <w:sz w:val="26"/>
          <w:szCs w:val="26"/>
        </w:rPr>
        <w:t xml:space="preserve"> к документации об электронном аукционе содержит </w:t>
      </w:r>
      <w:r w:rsidR="00452891" w:rsidRPr="00452891">
        <w:rPr>
          <w:i/>
          <w:sz w:val="26"/>
          <w:szCs w:val="26"/>
          <w:lang w:bidi="ru-RU"/>
        </w:rPr>
        <w:t>Требования к поставляемым товарам, при выполнении закупаемых работ</w:t>
      </w:r>
      <w:r w:rsidR="00452891">
        <w:rPr>
          <w:i/>
          <w:sz w:val="26"/>
          <w:szCs w:val="26"/>
          <w:lang w:bidi="ru-RU"/>
        </w:rPr>
        <w:t>.</w:t>
      </w:r>
    </w:p>
    <w:p w:rsidR="005272C5" w:rsidRPr="00906E2F" w:rsidRDefault="005272C5" w:rsidP="0052649F">
      <w:pPr>
        <w:autoSpaceDE w:val="0"/>
        <w:autoSpaceDN w:val="0"/>
        <w:adjustRightInd w:val="0"/>
        <w:ind w:firstLine="708"/>
        <w:jc w:val="both"/>
        <w:outlineLvl w:val="1"/>
        <w:rPr>
          <w:i/>
          <w:sz w:val="26"/>
          <w:szCs w:val="26"/>
        </w:rPr>
      </w:pPr>
      <w:r w:rsidRPr="00906E2F">
        <w:rPr>
          <w:sz w:val="26"/>
          <w:szCs w:val="26"/>
        </w:rPr>
        <w:t>Комиссия УФАС сообщает, что к спорной позиции</w:t>
      </w:r>
      <w:r w:rsidRPr="00906E2F">
        <w:rPr>
          <w:i/>
          <w:sz w:val="26"/>
          <w:szCs w:val="26"/>
        </w:rPr>
        <w:t xml:space="preserve"> </w:t>
      </w:r>
      <w:r w:rsidR="00452891" w:rsidRPr="00452891">
        <w:rPr>
          <w:i/>
          <w:sz w:val="26"/>
          <w:szCs w:val="26"/>
        </w:rPr>
        <w:t>№ 4 «Система очистки воды»</w:t>
      </w:r>
      <w:r w:rsidR="00452891">
        <w:rPr>
          <w:i/>
          <w:sz w:val="26"/>
          <w:szCs w:val="26"/>
        </w:rPr>
        <w:t xml:space="preserve">. </w:t>
      </w:r>
      <w:r w:rsidRPr="00906E2F">
        <w:rPr>
          <w:i/>
          <w:sz w:val="26"/>
          <w:szCs w:val="26"/>
        </w:rPr>
        <w:t xml:space="preserve"> </w:t>
      </w:r>
      <w:r w:rsidRPr="00906E2F">
        <w:rPr>
          <w:sz w:val="26"/>
          <w:szCs w:val="26"/>
        </w:rPr>
        <w:t xml:space="preserve">Заказчиком установлен показатель </w:t>
      </w:r>
      <w:r w:rsidR="00452891" w:rsidRPr="00452891">
        <w:rPr>
          <w:i/>
          <w:sz w:val="26"/>
          <w:szCs w:val="26"/>
        </w:rPr>
        <w:t>«Количество литров воды очищенной до замены картриджа: не меньше 10000 литров»</w:t>
      </w:r>
      <w:r w:rsidRPr="00906E2F">
        <w:rPr>
          <w:sz w:val="26"/>
          <w:szCs w:val="26"/>
        </w:rPr>
        <w:t>.</w:t>
      </w:r>
    </w:p>
    <w:p w:rsidR="005272C5" w:rsidRPr="00906E2F" w:rsidRDefault="005272C5" w:rsidP="005272C5">
      <w:pPr>
        <w:autoSpaceDE w:val="0"/>
        <w:autoSpaceDN w:val="0"/>
        <w:adjustRightInd w:val="0"/>
        <w:ind w:firstLine="708"/>
        <w:jc w:val="both"/>
        <w:outlineLvl w:val="1"/>
        <w:rPr>
          <w:i/>
          <w:sz w:val="26"/>
          <w:szCs w:val="26"/>
        </w:rPr>
      </w:pPr>
      <w:r w:rsidRPr="00906E2F">
        <w:rPr>
          <w:sz w:val="26"/>
          <w:szCs w:val="26"/>
        </w:rPr>
        <w:t xml:space="preserve">Заявитель в своей заявке указал показатель как </w:t>
      </w:r>
      <w:r w:rsidR="00452891" w:rsidRPr="00452891">
        <w:rPr>
          <w:i/>
          <w:sz w:val="26"/>
          <w:szCs w:val="26"/>
        </w:rPr>
        <w:t>«Количество литров воды очищенной до замены картриджа: 10000 литров»</w:t>
      </w:r>
      <w:r w:rsidRPr="00906E2F">
        <w:rPr>
          <w:i/>
          <w:sz w:val="26"/>
          <w:szCs w:val="26"/>
        </w:rPr>
        <w:t>.</w:t>
      </w:r>
    </w:p>
    <w:p w:rsidR="005272C5" w:rsidRPr="00906E2F" w:rsidRDefault="001D6C1B" w:rsidP="005272C5">
      <w:pPr>
        <w:autoSpaceDE w:val="0"/>
        <w:autoSpaceDN w:val="0"/>
        <w:adjustRightInd w:val="0"/>
        <w:ind w:firstLine="708"/>
        <w:jc w:val="both"/>
        <w:outlineLvl w:val="1"/>
        <w:rPr>
          <w:sz w:val="26"/>
          <w:szCs w:val="26"/>
        </w:rPr>
      </w:pPr>
      <w:r w:rsidRPr="00906E2F">
        <w:rPr>
          <w:sz w:val="26"/>
          <w:szCs w:val="26"/>
        </w:rPr>
        <w:t xml:space="preserve">Инструкцией </w:t>
      </w:r>
      <w:r w:rsidR="00620B52" w:rsidRPr="00906E2F">
        <w:rPr>
          <w:sz w:val="26"/>
          <w:szCs w:val="26"/>
        </w:rPr>
        <w:t>предусмотрено</w:t>
      </w:r>
      <w:r w:rsidRPr="00906E2F">
        <w:rPr>
          <w:sz w:val="26"/>
          <w:szCs w:val="26"/>
        </w:rPr>
        <w:t xml:space="preserve"> следующее:</w:t>
      </w:r>
    </w:p>
    <w:p w:rsidR="001D6C1B" w:rsidRPr="00906E2F" w:rsidRDefault="00452891" w:rsidP="001D6C1B">
      <w:pPr>
        <w:widowControl w:val="0"/>
        <w:autoSpaceDE w:val="0"/>
        <w:autoSpaceDN w:val="0"/>
        <w:adjustRightInd w:val="0"/>
        <w:ind w:firstLine="567"/>
        <w:jc w:val="both"/>
        <w:rPr>
          <w:i/>
          <w:sz w:val="26"/>
          <w:szCs w:val="26"/>
        </w:rPr>
      </w:pPr>
      <w:r w:rsidRPr="00452891">
        <w:rPr>
          <w:i/>
          <w:sz w:val="26"/>
          <w:szCs w:val="26"/>
        </w:rPr>
        <w:t>В случае установления единицы измерения показателя в его наименовании, участник должен предоставить значение такого показателя без изменений</w:t>
      </w:r>
      <w:r>
        <w:rPr>
          <w:i/>
          <w:sz w:val="26"/>
          <w:szCs w:val="26"/>
        </w:rPr>
        <w:t>.</w:t>
      </w:r>
    </w:p>
    <w:p w:rsidR="005272C5" w:rsidRPr="00906E2F" w:rsidRDefault="005272C5" w:rsidP="005272C5">
      <w:pPr>
        <w:autoSpaceDE w:val="0"/>
        <w:autoSpaceDN w:val="0"/>
        <w:adjustRightInd w:val="0"/>
        <w:ind w:firstLine="708"/>
        <w:jc w:val="both"/>
        <w:outlineLvl w:val="1"/>
        <w:rPr>
          <w:sz w:val="26"/>
          <w:szCs w:val="26"/>
        </w:rPr>
      </w:pPr>
      <w:r w:rsidRPr="00906E2F">
        <w:rPr>
          <w:sz w:val="26"/>
          <w:szCs w:val="26"/>
        </w:rPr>
        <w:t xml:space="preserve">На основании вышеизложенного, Комиссия УФАС приходит к выводу, что аукционная комиссия Заказчика имела достаточные основания для отказа Заявителю в допуске к участию в электронном аукционе (по основаниям, изложенным в </w:t>
      </w:r>
      <w:r w:rsidRPr="00906E2F">
        <w:rPr>
          <w:sz w:val="26"/>
          <w:szCs w:val="26"/>
        </w:rPr>
        <w:lastRenderedPageBreak/>
        <w:t xml:space="preserve">протоколе рассмотрения первых частей заявок), следовательно, в ее действиях </w:t>
      </w:r>
      <w:r w:rsidR="0052649F" w:rsidRPr="00906E2F">
        <w:rPr>
          <w:sz w:val="26"/>
          <w:szCs w:val="26"/>
        </w:rPr>
        <w:t xml:space="preserve">не </w:t>
      </w:r>
      <w:r w:rsidRPr="00906E2F">
        <w:rPr>
          <w:sz w:val="26"/>
          <w:szCs w:val="26"/>
        </w:rPr>
        <w:t>усматривается нарушение ч. 5 ст. 67 Закона о контрактной системе.</w:t>
      </w:r>
    </w:p>
    <w:p w:rsidR="005272C5" w:rsidRPr="00906E2F" w:rsidRDefault="0052649F" w:rsidP="005272C5">
      <w:pPr>
        <w:autoSpaceDE w:val="0"/>
        <w:autoSpaceDN w:val="0"/>
        <w:adjustRightInd w:val="0"/>
        <w:ind w:firstLine="708"/>
        <w:jc w:val="both"/>
        <w:outlineLvl w:val="1"/>
        <w:rPr>
          <w:sz w:val="26"/>
          <w:szCs w:val="26"/>
        </w:rPr>
      </w:pPr>
      <w:r w:rsidRPr="00906E2F">
        <w:rPr>
          <w:sz w:val="26"/>
          <w:szCs w:val="26"/>
        </w:rPr>
        <w:t>Однако в</w:t>
      </w:r>
      <w:r w:rsidR="005272C5" w:rsidRPr="00906E2F">
        <w:rPr>
          <w:sz w:val="26"/>
          <w:szCs w:val="26"/>
        </w:rPr>
        <w:t xml:space="preserve"> рамках внеплановой проверки Комиссией УФАС установлено следующее:</w:t>
      </w:r>
    </w:p>
    <w:p w:rsidR="005272C5" w:rsidRPr="00906E2F" w:rsidRDefault="005272C5" w:rsidP="005272C5">
      <w:pPr>
        <w:autoSpaceDE w:val="0"/>
        <w:autoSpaceDN w:val="0"/>
        <w:adjustRightInd w:val="0"/>
        <w:ind w:firstLine="720"/>
        <w:jc w:val="both"/>
        <w:rPr>
          <w:sz w:val="26"/>
          <w:szCs w:val="26"/>
        </w:rPr>
      </w:pPr>
      <w:r w:rsidRPr="00906E2F">
        <w:rPr>
          <w:sz w:val="26"/>
          <w:szCs w:val="26"/>
        </w:rPr>
        <w:t>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272C5" w:rsidRPr="00906E2F" w:rsidRDefault="005272C5" w:rsidP="005272C5">
      <w:pPr>
        <w:autoSpaceDE w:val="0"/>
        <w:autoSpaceDN w:val="0"/>
        <w:adjustRightInd w:val="0"/>
        <w:ind w:firstLine="720"/>
        <w:jc w:val="both"/>
        <w:rPr>
          <w:sz w:val="26"/>
          <w:szCs w:val="26"/>
        </w:rPr>
      </w:pPr>
      <w:r w:rsidRPr="00906E2F">
        <w:rPr>
          <w:sz w:val="26"/>
          <w:szCs w:val="26"/>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5272C5" w:rsidRPr="00906E2F" w:rsidRDefault="005272C5" w:rsidP="005272C5">
      <w:pPr>
        <w:autoSpaceDE w:val="0"/>
        <w:autoSpaceDN w:val="0"/>
        <w:adjustRightInd w:val="0"/>
        <w:ind w:firstLine="720"/>
        <w:jc w:val="both"/>
        <w:rPr>
          <w:sz w:val="26"/>
          <w:szCs w:val="26"/>
        </w:rPr>
      </w:pPr>
      <w:r w:rsidRPr="00906E2F">
        <w:rPr>
          <w:sz w:val="26"/>
          <w:szCs w:val="26"/>
        </w:rPr>
        <w:t>Согласно п.п. 1 и 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272C5" w:rsidRPr="00906E2F" w:rsidRDefault="0052649F" w:rsidP="005272C5">
      <w:pPr>
        <w:autoSpaceDE w:val="0"/>
        <w:autoSpaceDN w:val="0"/>
        <w:adjustRightInd w:val="0"/>
        <w:ind w:firstLine="720"/>
        <w:jc w:val="both"/>
        <w:rPr>
          <w:sz w:val="26"/>
          <w:szCs w:val="26"/>
        </w:rPr>
      </w:pPr>
      <w:r w:rsidRPr="00906E2F">
        <w:rPr>
          <w:sz w:val="26"/>
          <w:szCs w:val="26"/>
        </w:rPr>
        <w:t>Инструкция содержит следующие положения:</w:t>
      </w:r>
    </w:p>
    <w:p w:rsidR="00452891" w:rsidRDefault="00452891" w:rsidP="005272C5">
      <w:pPr>
        <w:ind w:right="-5" w:firstLine="720"/>
        <w:jc w:val="both"/>
        <w:rPr>
          <w:i/>
          <w:sz w:val="26"/>
          <w:szCs w:val="26"/>
          <w:lang w:bidi="ru-RU"/>
        </w:rPr>
      </w:pPr>
      <w:r w:rsidRPr="00452891">
        <w:rPr>
          <w:i/>
          <w:sz w:val="26"/>
          <w:szCs w:val="26"/>
          <w:lang w:bidi="ru-RU"/>
        </w:rPr>
        <w:t xml:space="preserve">1.4 Установление Заказчиком требований к значению показателя с использованием словосочетания «не меньше», означает что участник закупки обязан указать конкретное значение показателя, не меньше установленного Заказчиком минимального значения показателя если документацией и настоящей инструкцией не предусмотрено иное. </w:t>
      </w:r>
    </w:p>
    <w:p w:rsidR="00452891" w:rsidRPr="00452891" w:rsidRDefault="00452891" w:rsidP="00452891">
      <w:pPr>
        <w:autoSpaceDE w:val="0"/>
        <w:autoSpaceDN w:val="0"/>
        <w:adjustRightInd w:val="0"/>
        <w:ind w:firstLine="708"/>
        <w:jc w:val="both"/>
        <w:outlineLvl w:val="1"/>
        <w:rPr>
          <w:sz w:val="26"/>
          <w:szCs w:val="26"/>
        </w:rPr>
      </w:pPr>
      <w:r w:rsidRPr="00452891">
        <w:rPr>
          <w:sz w:val="26"/>
          <w:szCs w:val="26"/>
        </w:rPr>
        <w:t>При указанных обстоятельствах Комиссия УФАС приходит к выводу о том, что установленная Заказчиком инструкция по заполнению первой части заявки не только не способствует правильному заполнению заявок, но и затрудняет для участников закупки подачу заявки в соответствии с требованиями документации, поскольку не позволяет определить, к какому виду показателей относится приведенное значение, что является нарушением п. 2 ч. 1 ст. 64 Закона о контрактной системе.</w:t>
      </w:r>
    </w:p>
    <w:p w:rsidR="00452891" w:rsidRDefault="00452891" w:rsidP="005272C5">
      <w:pPr>
        <w:ind w:right="-5" w:firstLine="720"/>
        <w:jc w:val="both"/>
        <w:rPr>
          <w:i/>
          <w:sz w:val="26"/>
          <w:szCs w:val="26"/>
          <w:lang w:bidi="ru-RU"/>
        </w:rPr>
      </w:pPr>
    </w:p>
    <w:p w:rsidR="005272C5" w:rsidRPr="00906E2F" w:rsidRDefault="005272C5" w:rsidP="005272C5">
      <w:pPr>
        <w:autoSpaceDE w:val="0"/>
        <w:autoSpaceDN w:val="0"/>
        <w:adjustRightInd w:val="0"/>
        <w:ind w:firstLine="708"/>
        <w:jc w:val="both"/>
        <w:outlineLvl w:val="1"/>
        <w:rPr>
          <w:color w:val="000000"/>
          <w:sz w:val="26"/>
          <w:szCs w:val="26"/>
        </w:rPr>
      </w:pPr>
      <w:r w:rsidRPr="00906E2F">
        <w:rPr>
          <w:color w:val="000000"/>
          <w:sz w:val="26"/>
          <w:szCs w:val="26"/>
        </w:rPr>
        <w:t>Комиссия УФАС, руководствуясь ст. 8, 33, 59, 64, 66, 67, 99, 106 Закона о контрактной системе, Административным регламентом,</w:t>
      </w:r>
    </w:p>
    <w:p w:rsidR="005272C5" w:rsidRDefault="005272C5" w:rsidP="005272C5">
      <w:pPr>
        <w:autoSpaceDE w:val="0"/>
        <w:autoSpaceDN w:val="0"/>
        <w:adjustRightInd w:val="0"/>
        <w:jc w:val="both"/>
        <w:outlineLvl w:val="1"/>
        <w:rPr>
          <w:color w:val="000000"/>
          <w:sz w:val="26"/>
          <w:szCs w:val="26"/>
        </w:rPr>
      </w:pPr>
    </w:p>
    <w:p w:rsidR="00F037CA" w:rsidRPr="00906E2F" w:rsidRDefault="00F037CA" w:rsidP="005272C5">
      <w:pPr>
        <w:autoSpaceDE w:val="0"/>
        <w:autoSpaceDN w:val="0"/>
        <w:adjustRightInd w:val="0"/>
        <w:jc w:val="both"/>
        <w:outlineLvl w:val="1"/>
        <w:rPr>
          <w:color w:val="000000"/>
          <w:sz w:val="26"/>
          <w:szCs w:val="26"/>
        </w:rPr>
      </w:pPr>
    </w:p>
    <w:p w:rsidR="005272C5" w:rsidRPr="00906E2F" w:rsidRDefault="005272C5" w:rsidP="005272C5">
      <w:pPr>
        <w:autoSpaceDE w:val="0"/>
        <w:autoSpaceDN w:val="0"/>
        <w:adjustRightInd w:val="0"/>
        <w:jc w:val="center"/>
        <w:outlineLvl w:val="1"/>
        <w:rPr>
          <w:color w:val="000000"/>
          <w:sz w:val="26"/>
          <w:szCs w:val="26"/>
        </w:rPr>
      </w:pPr>
      <w:r w:rsidRPr="00906E2F">
        <w:rPr>
          <w:color w:val="000000"/>
          <w:sz w:val="26"/>
          <w:szCs w:val="26"/>
        </w:rPr>
        <w:t>РЕШИЛА:</w:t>
      </w:r>
    </w:p>
    <w:p w:rsidR="005272C5" w:rsidRPr="00906E2F" w:rsidRDefault="005272C5" w:rsidP="005272C5">
      <w:pPr>
        <w:autoSpaceDE w:val="0"/>
        <w:autoSpaceDN w:val="0"/>
        <w:adjustRightInd w:val="0"/>
        <w:jc w:val="both"/>
        <w:outlineLvl w:val="1"/>
        <w:rPr>
          <w:color w:val="000000"/>
          <w:sz w:val="26"/>
          <w:szCs w:val="26"/>
        </w:rPr>
      </w:pPr>
    </w:p>
    <w:p w:rsidR="005272C5" w:rsidRPr="00906E2F" w:rsidRDefault="005272C5" w:rsidP="005272C5">
      <w:pPr>
        <w:autoSpaceDE w:val="0"/>
        <w:autoSpaceDN w:val="0"/>
        <w:adjustRightInd w:val="0"/>
        <w:ind w:firstLine="708"/>
        <w:jc w:val="both"/>
        <w:outlineLvl w:val="1"/>
        <w:rPr>
          <w:color w:val="000000"/>
          <w:sz w:val="26"/>
          <w:szCs w:val="26"/>
        </w:rPr>
      </w:pPr>
      <w:r w:rsidRPr="00906E2F">
        <w:rPr>
          <w:color w:val="000000"/>
          <w:sz w:val="26"/>
          <w:szCs w:val="26"/>
        </w:rPr>
        <w:t xml:space="preserve">1. Признать жалобу </w:t>
      </w:r>
      <w:r w:rsidR="002533E9" w:rsidRPr="00452891">
        <w:rPr>
          <w:sz w:val="26"/>
          <w:szCs w:val="26"/>
        </w:rPr>
        <w:t>ООО «НПФ «Регулятор»</w:t>
      </w:r>
      <w:r w:rsidRPr="00906E2F">
        <w:rPr>
          <w:color w:val="000000"/>
          <w:sz w:val="26"/>
          <w:szCs w:val="26"/>
        </w:rPr>
        <w:t xml:space="preserve"> необоснованной.</w:t>
      </w:r>
    </w:p>
    <w:p w:rsidR="005272C5" w:rsidRPr="00906E2F" w:rsidRDefault="005272C5" w:rsidP="005272C5">
      <w:pPr>
        <w:autoSpaceDE w:val="0"/>
        <w:autoSpaceDN w:val="0"/>
        <w:adjustRightInd w:val="0"/>
        <w:ind w:firstLine="708"/>
        <w:jc w:val="both"/>
        <w:outlineLvl w:val="1"/>
        <w:rPr>
          <w:color w:val="000000"/>
          <w:sz w:val="26"/>
          <w:szCs w:val="26"/>
        </w:rPr>
      </w:pPr>
      <w:r w:rsidRPr="00906E2F">
        <w:rPr>
          <w:color w:val="000000"/>
          <w:sz w:val="26"/>
          <w:szCs w:val="26"/>
        </w:rPr>
        <w:t xml:space="preserve">2. Признать в действиях Заказчика нарушение п. 2 ч. 1 ст. 64 </w:t>
      </w:r>
      <w:r w:rsidRPr="00906E2F">
        <w:rPr>
          <w:color w:val="000000"/>
          <w:sz w:val="26"/>
          <w:szCs w:val="26"/>
        </w:rPr>
        <w:br/>
      </w:r>
      <w:r w:rsidRPr="00906E2F">
        <w:rPr>
          <w:sz w:val="26"/>
          <w:szCs w:val="26"/>
        </w:rPr>
        <w:t xml:space="preserve"> </w:t>
      </w:r>
      <w:r w:rsidRPr="00906E2F">
        <w:rPr>
          <w:color w:val="000000"/>
          <w:sz w:val="26"/>
          <w:szCs w:val="26"/>
        </w:rPr>
        <w:t>Закона о контрактной системе.</w:t>
      </w:r>
    </w:p>
    <w:p w:rsidR="005272C5" w:rsidRPr="00906E2F" w:rsidRDefault="005272C5" w:rsidP="005272C5">
      <w:pPr>
        <w:autoSpaceDE w:val="0"/>
        <w:autoSpaceDN w:val="0"/>
        <w:adjustRightInd w:val="0"/>
        <w:ind w:firstLine="708"/>
        <w:jc w:val="both"/>
        <w:outlineLvl w:val="1"/>
        <w:rPr>
          <w:color w:val="000000"/>
          <w:sz w:val="26"/>
          <w:szCs w:val="26"/>
        </w:rPr>
      </w:pPr>
      <w:r w:rsidRPr="00906E2F">
        <w:rPr>
          <w:color w:val="000000"/>
          <w:sz w:val="26"/>
          <w:szCs w:val="26"/>
        </w:rPr>
        <w:t>3. Заказчику, его аукционной комиссии и оператору электронной площадки предписание об устранении выявленного нарушения не выдавать в связи с ранее выданным по данной закупке.</w:t>
      </w:r>
    </w:p>
    <w:p w:rsidR="005272C5" w:rsidRPr="00906E2F" w:rsidRDefault="005272C5" w:rsidP="005272C5">
      <w:pPr>
        <w:autoSpaceDE w:val="0"/>
        <w:autoSpaceDN w:val="0"/>
        <w:adjustRightInd w:val="0"/>
        <w:ind w:firstLine="708"/>
        <w:jc w:val="both"/>
        <w:outlineLvl w:val="1"/>
        <w:rPr>
          <w:color w:val="000000"/>
          <w:sz w:val="26"/>
          <w:szCs w:val="26"/>
        </w:rPr>
      </w:pPr>
      <w:r w:rsidRPr="00906E2F">
        <w:rPr>
          <w:color w:val="000000"/>
          <w:sz w:val="26"/>
          <w:szCs w:val="26"/>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rsidR="005272C5" w:rsidRPr="00906E2F" w:rsidRDefault="005272C5" w:rsidP="005272C5">
      <w:pPr>
        <w:autoSpaceDE w:val="0"/>
        <w:autoSpaceDN w:val="0"/>
        <w:adjustRightInd w:val="0"/>
        <w:jc w:val="both"/>
        <w:outlineLvl w:val="1"/>
        <w:rPr>
          <w:color w:val="000000"/>
          <w:sz w:val="26"/>
          <w:szCs w:val="26"/>
        </w:rPr>
      </w:pPr>
    </w:p>
    <w:p w:rsidR="005272C5" w:rsidRPr="00906E2F" w:rsidRDefault="005272C5" w:rsidP="005272C5">
      <w:pPr>
        <w:autoSpaceDE w:val="0"/>
        <w:autoSpaceDN w:val="0"/>
        <w:adjustRightInd w:val="0"/>
        <w:jc w:val="both"/>
        <w:outlineLvl w:val="1"/>
        <w:rPr>
          <w:color w:val="000000"/>
          <w:sz w:val="26"/>
          <w:szCs w:val="26"/>
        </w:rPr>
      </w:pPr>
    </w:p>
    <w:p w:rsidR="005272C5" w:rsidRPr="00906E2F" w:rsidRDefault="005272C5" w:rsidP="005272C5">
      <w:pPr>
        <w:autoSpaceDE w:val="0"/>
        <w:autoSpaceDN w:val="0"/>
        <w:adjustRightInd w:val="0"/>
        <w:jc w:val="both"/>
        <w:outlineLvl w:val="1"/>
        <w:rPr>
          <w:color w:val="000000"/>
          <w:sz w:val="26"/>
          <w:szCs w:val="26"/>
        </w:rPr>
      </w:pPr>
    </w:p>
    <w:p w:rsidR="005272C5" w:rsidRPr="00906E2F" w:rsidRDefault="005272C5" w:rsidP="005272C5">
      <w:pPr>
        <w:tabs>
          <w:tab w:val="left" w:pos="2700"/>
        </w:tabs>
        <w:ind w:firstLine="720"/>
        <w:jc w:val="both"/>
        <w:rPr>
          <w:i/>
          <w:sz w:val="26"/>
          <w:szCs w:val="26"/>
        </w:rPr>
      </w:pPr>
      <w:r w:rsidRPr="00906E2F">
        <w:rPr>
          <w:i/>
          <w:sz w:val="26"/>
          <w:szCs w:val="26"/>
        </w:rPr>
        <w:t>Настоящее решение может быть обжаловано в судебном порядке в течение трёх месяцев со дня принятия.</w:t>
      </w:r>
    </w:p>
    <w:p w:rsidR="00906E2F" w:rsidRPr="00906E2F" w:rsidRDefault="00906E2F" w:rsidP="00F037CA">
      <w:pPr>
        <w:spacing w:after="160" w:line="259" w:lineRule="auto"/>
        <w:rPr>
          <w:sz w:val="26"/>
          <w:szCs w:val="26"/>
        </w:rPr>
      </w:pPr>
    </w:p>
    <w:sectPr w:rsidR="00906E2F" w:rsidRPr="00906E2F" w:rsidSect="002B51B4">
      <w:headerReference w:type="even" r:id="rId8"/>
      <w:head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0E" w:rsidRDefault="00F037CA">
      <w:r>
        <w:separator/>
      </w:r>
    </w:p>
  </w:endnote>
  <w:endnote w:type="continuationSeparator" w:id="0">
    <w:p w:rsidR="00BD410E" w:rsidRDefault="00F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0E" w:rsidRDefault="00F037CA">
      <w:r>
        <w:separator/>
      </w:r>
    </w:p>
  </w:footnote>
  <w:footnote w:type="continuationSeparator" w:id="0">
    <w:p w:rsidR="00BD410E" w:rsidRDefault="00F0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424D3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C225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424D3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6E2F">
      <w:rPr>
        <w:rStyle w:val="a5"/>
        <w:noProof/>
      </w:rPr>
      <w:t>9</w:t>
    </w:r>
    <w:r>
      <w:rPr>
        <w:rStyle w:val="a5"/>
      </w:rPr>
      <w:fldChar w:fldCharType="end"/>
    </w:r>
  </w:p>
  <w:p w:rsidR="00590413" w:rsidRDefault="00C225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2F" w:rsidRDefault="00906E2F"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6E2F" w:rsidRDefault="00906E2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2F" w:rsidRDefault="00906E2F"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2553">
      <w:rPr>
        <w:rStyle w:val="a5"/>
        <w:noProof/>
      </w:rPr>
      <w:t>7</w:t>
    </w:r>
    <w:r>
      <w:rPr>
        <w:rStyle w:val="a5"/>
      </w:rPr>
      <w:fldChar w:fldCharType="end"/>
    </w:r>
  </w:p>
  <w:p w:rsidR="00906E2F" w:rsidRDefault="00906E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AB"/>
    <w:rsid w:val="001D6C1B"/>
    <w:rsid w:val="002533E9"/>
    <w:rsid w:val="00424D37"/>
    <w:rsid w:val="00452891"/>
    <w:rsid w:val="00507E17"/>
    <w:rsid w:val="0052649F"/>
    <w:rsid w:val="005272C5"/>
    <w:rsid w:val="00620B52"/>
    <w:rsid w:val="006A023D"/>
    <w:rsid w:val="00797C80"/>
    <w:rsid w:val="008C75AB"/>
    <w:rsid w:val="00906E2F"/>
    <w:rsid w:val="00BD410E"/>
    <w:rsid w:val="00C22553"/>
    <w:rsid w:val="00DF5E58"/>
    <w:rsid w:val="00EA273E"/>
    <w:rsid w:val="00F0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9B50"/>
  <w15:chartTrackingRefBased/>
  <w15:docId w15:val="{C794F958-54BB-449C-9540-87551E1B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72C5"/>
    <w:pPr>
      <w:tabs>
        <w:tab w:val="center" w:pos="4677"/>
        <w:tab w:val="right" w:pos="9355"/>
      </w:tabs>
    </w:pPr>
  </w:style>
  <w:style w:type="character" w:customStyle="1" w:styleId="a4">
    <w:name w:val="Верхний колонтитул Знак"/>
    <w:basedOn w:val="a0"/>
    <w:link w:val="a3"/>
    <w:rsid w:val="005272C5"/>
    <w:rPr>
      <w:rFonts w:ascii="Times New Roman" w:eastAsia="Times New Roman" w:hAnsi="Times New Roman" w:cs="Times New Roman"/>
      <w:sz w:val="24"/>
      <w:szCs w:val="24"/>
      <w:lang w:eastAsia="ru-RU"/>
    </w:rPr>
  </w:style>
  <w:style w:type="character" w:styleId="a5">
    <w:name w:val="page number"/>
    <w:basedOn w:val="a0"/>
    <w:rsid w:val="005272C5"/>
  </w:style>
  <w:style w:type="character" w:styleId="a6">
    <w:name w:val="Hyperlink"/>
    <w:basedOn w:val="a0"/>
    <w:uiPriority w:val="99"/>
    <w:unhideWhenUsed/>
    <w:rsid w:val="0045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Алыбин Юрий Александрович</cp:lastModifiedBy>
  <cp:revision>2</cp:revision>
  <dcterms:created xsi:type="dcterms:W3CDTF">2021-02-16T14:38:00Z</dcterms:created>
  <dcterms:modified xsi:type="dcterms:W3CDTF">2021-02-16T14:38:00Z</dcterms:modified>
</cp:coreProperties>
</file>