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C" w:rsidRDefault="00AB27DC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27DC" w:rsidRDefault="007F22D5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№ </w:t>
      </w:r>
      <w:r w:rsidR="0015388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/44/105/</w:t>
      </w:r>
      <w:r w:rsidR="00162541">
        <w:rPr>
          <w:rFonts w:ascii="Times New Roman" w:hAnsi="Times New Roman"/>
          <w:sz w:val="28"/>
          <w:szCs w:val="28"/>
        </w:rPr>
        <w:t>107</w:t>
      </w:r>
      <w:r w:rsidR="00153887">
        <w:rPr>
          <w:rFonts w:ascii="Times New Roman" w:hAnsi="Times New Roman"/>
          <w:sz w:val="28"/>
          <w:szCs w:val="28"/>
        </w:rPr>
        <w:t xml:space="preserve"> </w:t>
      </w:r>
      <w:r w:rsidR="00AB27DC">
        <w:rPr>
          <w:rFonts w:ascii="Times New Roman" w:hAnsi="Times New Roman"/>
          <w:sz w:val="28"/>
          <w:szCs w:val="28"/>
        </w:rPr>
        <w:t xml:space="preserve">о нарушении </w:t>
      </w:r>
    </w:p>
    <w:p w:rsidR="00AB27DC" w:rsidRDefault="00AB27DC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B27DC" w:rsidRDefault="00AB27DC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  <w:gridCol w:w="283"/>
      </w:tblGrid>
      <w:tr w:rsidR="00AB27DC" w:rsidTr="00D74E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153887" w:rsidP="00F608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C15CA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AB27DC" w:rsidP="00F6086F">
            <w:pPr>
              <w:spacing w:after="0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B27DC" w:rsidTr="00D74E5B">
        <w:trPr>
          <w:gridAfter w:val="1"/>
          <w:wAfter w:w="283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F608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F6086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F3B" w:rsidRPr="00A54455" w:rsidRDefault="005520A2" w:rsidP="00A54455">
      <w:pPr>
        <w:pStyle w:val="10"/>
        <w:tabs>
          <w:tab w:val="left" w:pos="9498"/>
        </w:tabs>
        <w:spacing w:line="400" w:lineRule="exact"/>
        <w:ind w:firstLine="567"/>
        <w:jc w:val="both"/>
        <w:rPr>
          <w:sz w:val="28"/>
          <w:szCs w:val="28"/>
        </w:rPr>
      </w:pPr>
      <w:r w:rsidRPr="005F71F5">
        <w:rPr>
          <w:color w:val="auto"/>
          <w:sz w:val="28"/>
          <w:szCs w:val="28"/>
        </w:rPr>
        <w:t xml:space="preserve">Комиссия </w:t>
      </w:r>
      <w:r w:rsidRPr="00EE2974">
        <w:rPr>
          <w:color w:val="auto"/>
          <w:sz w:val="28"/>
          <w:szCs w:val="28"/>
        </w:rPr>
        <w:t xml:space="preserve">Федеральной антимонопольной службы по контролю в сфере закупок (далее – Комиссия) </w:t>
      </w:r>
      <w:r w:rsidR="00AB27DC" w:rsidRPr="00EE2974">
        <w:rPr>
          <w:color w:val="auto"/>
          <w:sz w:val="28"/>
          <w:szCs w:val="28"/>
        </w:rPr>
        <w:t xml:space="preserve">рассмотрев </w:t>
      </w:r>
      <w:r w:rsidR="00846572" w:rsidRPr="00EE2974">
        <w:rPr>
          <w:color w:val="auto"/>
          <w:sz w:val="28"/>
          <w:szCs w:val="28"/>
        </w:rPr>
        <w:t>посредством си</w:t>
      </w:r>
      <w:r w:rsidR="00DE5292">
        <w:rPr>
          <w:color w:val="auto"/>
          <w:sz w:val="28"/>
          <w:szCs w:val="28"/>
        </w:rPr>
        <w:t>с</w:t>
      </w:r>
      <w:r w:rsidR="00846572" w:rsidRPr="00EE2974">
        <w:rPr>
          <w:color w:val="auto"/>
          <w:sz w:val="28"/>
          <w:szCs w:val="28"/>
        </w:rPr>
        <w:t>темы видео</w:t>
      </w:r>
      <w:r w:rsidR="00B52C59">
        <w:rPr>
          <w:color w:val="auto"/>
          <w:sz w:val="28"/>
          <w:szCs w:val="28"/>
        </w:rPr>
        <w:t>-</w:t>
      </w:r>
      <w:r w:rsidR="00846572" w:rsidRPr="00EE2974">
        <w:rPr>
          <w:color w:val="auto"/>
          <w:sz w:val="28"/>
          <w:szCs w:val="28"/>
        </w:rPr>
        <w:t xml:space="preserve">конференц-связи </w:t>
      </w:r>
      <w:r w:rsidR="00AB27DC" w:rsidRPr="00EE2974">
        <w:rPr>
          <w:color w:val="auto"/>
          <w:sz w:val="28"/>
          <w:szCs w:val="28"/>
        </w:rPr>
        <w:t xml:space="preserve">жалобу </w:t>
      </w:r>
      <w:r w:rsidR="00B40D44">
        <w:rPr>
          <w:sz w:val="28"/>
          <w:szCs w:val="28"/>
        </w:rPr>
        <w:t>ООО «Адванта</w:t>
      </w:r>
      <w:r w:rsidR="00C15CAA" w:rsidRPr="00C15CAA">
        <w:rPr>
          <w:sz w:val="28"/>
          <w:szCs w:val="28"/>
        </w:rPr>
        <w:t xml:space="preserve">» </w:t>
      </w:r>
      <w:r w:rsidR="00AB27DC" w:rsidRPr="00EE2974">
        <w:rPr>
          <w:color w:val="auto"/>
          <w:sz w:val="28"/>
          <w:szCs w:val="28"/>
        </w:rPr>
        <w:t>(</w:t>
      </w:r>
      <w:r w:rsidR="008233EB" w:rsidRPr="00EE2974">
        <w:rPr>
          <w:color w:val="auto"/>
          <w:sz w:val="28"/>
          <w:szCs w:val="28"/>
        </w:rPr>
        <w:t>далее – Заявитель) на действия</w:t>
      </w:r>
      <w:r w:rsidR="000926BF" w:rsidRPr="00EE2974">
        <w:rPr>
          <w:color w:val="auto"/>
          <w:sz w:val="28"/>
          <w:szCs w:val="28"/>
        </w:rPr>
        <w:t xml:space="preserve"> </w:t>
      </w:r>
      <w:r w:rsidR="00153887">
        <w:rPr>
          <w:sz w:val="28"/>
          <w:szCs w:val="28"/>
        </w:rPr>
        <w:t>АО</w:t>
      </w:r>
      <w:r w:rsidR="004B6951" w:rsidRPr="00EE2974">
        <w:rPr>
          <w:sz w:val="28"/>
          <w:szCs w:val="28"/>
        </w:rPr>
        <w:t xml:space="preserve"> «</w:t>
      </w:r>
      <w:r w:rsidR="00153887">
        <w:rPr>
          <w:sz w:val="28"/>
          <w:szCs w:val="28"/>
        </w:rPr>
        <w:t>ЕЭТП</w:t>
      </w:r>
      <w:r w:rsidR="004B6951" w:rsidRPr="00EE2974">
        <w:rPr>
          <w:sz w:val="28"/>
          <w:szCs w:val="28"/>
        </w:rPr>
        <w:t>»</w:t>
      </w:r>
      <w:r w:rsidR="004B6951" w:rsidRPr="00EE2974">
        <w:rPr>
          <w:color w:val="auto"/>
          <w:sz w:val="28"/>
          <w:szCs w:val="28"/>
        </w:rPr>
        <w:t xml:space="preserve"> </w:t>
      </w:r>
      <w:r w:rsidR="00153887">
        <w:rPr>
          <w:color w:val="auto"/>
          <w:sz w:val="28"/>
          <w:szCs w:val="28"/>
        </w:rPr>
        <w:t xml:space="preserve">                                 </w:t>
      </w:r>
      <w:r w:rsidR="00AB27DC" w:rsidRPr="00EE2974">
        <w:rPr>
          <w:color w:val="auto"/>
          <w:sz w:val="28"/>
          <w:szCs w:val="28"/>
        </w:rPr>
        <w:t>(далее – Оператор электронной площадки) при</w:t>
      </w:r>
      <w:r w:rsidR="00C15CAA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проведении</w:t>
      </w:r>
      <w:r w:rsidR="00BF5B91" w:rsidRPr="00EE2974">
        <w:rPr>
          <w:color w:val="auto"/>
          <w:sz w:val="28"/>
          <w:szCs w:val="28"/>
        </w:rPr>
        <w:t xml:space="preserve"> </w:t>
      </w:r>
      <w:r w:rsidR="00153887" w:rsidRPr="00153887">
        <w:rPr>
          <w:sz w:val="28"/>
          <w:szCs w:val="28"/>
        </w:rPr>
        <w:t xml:space="preserve">ГБУЗ Пермского </w:t>
      </w:r>
      <w:r w:rsidR="00153887">
        <w:rPr>
          <w:sz w:val="28"/>
          <w:szCs w:val="28"/>
        </w:rPr>
        <w:t xml:space="preserve"> </w:t>
      </w:r>
      <w:r w:rsidR="00153887" w:rsidRPr="00153887">
        <w:rPr>
          <w:sz w:val="28"/>
          <w:szCs w:val="28"/>
        </w:rPr>
        <w:t>края «Клинический кардиологический диспансер»</w:t>
      </w:r>
      <w:r w:rsidR="00153887">
        <w:rPr>
          <w:sz w:val="28"/>
          <w:szCs w:val="28"/>
        </w:rPr>
        <w:t xml:space="preserve"> </w:t>
      </w:r>
      <w:r w:rsidR="00B51D5E" w:rsidRPr="00EE2974">
        <w:rPr>
          <w:sz w:val="28"/>
          <w:szCs w:val="28"/>
        </w:rPr>
        <w:t>(далее – Заказчик)</w:t>
      </w:r>
      <w:r w:rsidR="005F71F5" w:rsidRPr="00EE2974">
        <w:rPr>
          <w:color w:val="auto"/>
          <w:sz w:val="28"/>
          <w:szCs w:val="28"/>
        </w:rPr>
        <w:t>,</w:t>
      </w:r>
      <w:r w:rsidR="004B6951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Оператором электронной</w:t>
      </w:r>
      <w:r w:rsidR="00785B8A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 xml:space="preserve">площадки </w:t>
      </w:r>
      <w:r w:rsidR="00153887">
        <w:rPr>
          <w:color w:val="auto"/>
          <w:sz w:val="28"/>
          <w:szCs w:val="28"/>
        </w:rPr>
        <w:t>электронного аукциона</w:t>
      </w:r>
      <w:r w:rsidR="00AB27DC" w:rsidRPr="00EE2974">
        <w:rPr>
          <w:color w:val="auto"/>
          <w:sz w:val="28"/>
          <w:szCs w:val="28"/>
        </w:rPr>
        <w:t xml:space="preserve"> на</w:t>
      </w:r>
      <w:r w:rsidR="005F71F5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 xml:space="preserve">право </w:t>
      </w:r>
      <w:r w:rsidR="00153887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заключения</w:t>
      </w:r>
      <w:r w:rsidR="00DB302D" w:rsidRPr="00EE2974">
        <w:rPr>
          <w:color w:val="auto"/>
          <w:sz w:val="28"/>
          <w:szCs w:val="28"/>
        </w:rPr>
        <w:t xml:space="preserve"> государственного</w:t>
      </w:r>
      <w:r w:rsidR="008B2072" w:rsidRPr="00EE2974">
        <w:rPr>
          <w:color w:val="auto"/>
          <w:sz w:val="28"/>
          <w:szCs w:val="28"/>
        </w:rPr>
        <w:t xml:space="preserve"> </w:t>
      </w:r>
      <w:r w:rsidR="00153887">
        <w:rPr>
          <w:color w:val="auto"/>
          <w:sz w:val="28"/>
          <w:szCs w:val="28"/>
        </w:rPr>
        <w:t xml:space="preserve">контракта </w:t>
      </w:r>
      <w:r w:rsidR="000926BF" w:rsidRPr="00EE2974">
        <w:rPr>
          <w:color w:val="auto"/>
          <w:sz w:val="28"/>
          <w:szCs w:val="28"/>
        </w:rPr>
        <w:t xml:space="preserve">на </w:t>
      </w:r>
      <w:r w:rsidR="00411AE4" w:rsidRPr="00411AE4">
        <w:rPr>
          <w:sz w:val="28"/>
          <w:szCs w:val="28"/>
        </w:rPr>
        <w:t>поставк</w:t>
      </w:r>
      <w:r w:rsidR="00411AE4">
        <w:rPr>
          <w:sz w:val="28"/>
          <w:szCs w:val="28"/>
        </w:rPr>
        <w:t>у</w:t>
      </w:r>
      <w:r w:rsidR="00411AE4" w:rsidRPr="00411AE4">
        <w:rPr>
          <w:sz w:val="28"/>
          <w:szCs w:val="28"/>
        </w:rPr>
        <w:t xml:space="preserve"> расходных материалов </w:t>
      </w:r>
      <w:r w:rsidR="00411AE4">
        <w:rPr>
          <w:sz w:val="28"/>
          <w:szCs w:val="28"/>
        </w:rPr>
        <w:t xml:space="preserve">            </w:t>
      </w:r>
      <w:r w:rsidR="00411AE4" w:rsidRPr="00411AE4">
        <w:rPr>
          <w:sz w:val="28"/>
          <w:szCs w:val="28"/>
        </w:rPr>
        <w:t>для иммунодиагностического анализатора Vitros (Ortho-Clinical Diagnostics</w:t>
      </w:r>
      <w:r w:rsidR="00411AE4">
        <w:rPr>
          <w:sz w:val="28"/>
          <w:szCs w:val="28"/>
        </w:rPr>
        <w:t>)</w:t>
      </w:r>
      <w:r w:rsidR="00411AE4" w:rsidRPr="00411AE4">
        <w:rPr>
          <w:sz w:val="28"/>
          <w:szCs w:val="28"/>
        </w:rPr>
        <w:t xml:space="preserve"> </w:t>
      </w:r>
      <w:r w:rsidR="00BF5B91" w:rsidRPr="00EE2974">
        <w:rPr>
          <w:color w:val="auto"/>
          <w:sz w:val="28"/>
          <w:szCs w:val="28"/>
        </w:rPr>
        <w:t xml:space="preserve">(номер извещения единой информационной системе в сфере закупок www.zakupki.gov.ru (далее – ЕИС) </w:t>
      </w:r>
      <w:r w:rsidR="00153887" w:rsidRPr="00153887">
        <w:rPr>
          <w:color w:val="auto"/>
          <w:sz w:val="28"/>
          <w:szCs w:val="28"/>
        </w:rPr>
        <w:t>0356200001821000001</w:t>
      </w:r>
      <w:r w:rsidR="00BF5B91" w:rsidRPr="00EE2974">
        <w:rPr>
          <w:color w:val="auto"/>
          <w:sz w:val="28"/>
          <w:szCs w:val="28"/>
        </w:rPr>
        <w:t>)</w:t>
      </w:r>
      <w:r w:rsidR="00C15CAA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 xml:space="preserve">(далее – </w:t>
      </w:r>
      <w:r w:rsidR="00153887">
        <w:rPr>
          <w:color w:val="auto"/>
          <w:sz w:val="28"/>
          <w:szCs w:val="28"/>
        </w:rPr>
        <w:t>Аукцион</w:t>
      </w:r>
      <w:r w:rsidR="00AB27DC" w:rsidRPr="00EE2974">
        <w:rPr>
          <w:color w:val="auto"/>
          <w:sz w:val="28"/>
          <w:szCs w:val="28"/>
        </w:rPr>
        <w:t xml:space="preserve">), </w:t>
      </w:r>
      <w:r w:rsidR="00411AE4">
        <w:rPr>
          <w:color w:val="auto"/>
          <w:sz w:val="28"/>
          <w:szCs w:val="28"/>
        </w:rPr>
        <w:t xml:space="preserve">                  </w:t>
      </w:r>
      <w:r w:rsidR="00AB27DC" w:rsidRPr="00EE2974">
        <w:rPr>
          <w:color w:val="auto"/>
          <w:sz w:val="28"/>
          <w:szCs w:val="28"/>
        </w:rPr>
        <w:t>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F5B91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 xml:space="preserve">(далее – Закон о контрактной системе), пунктом 3.31 Административного регламента Федеральной антимонопольной службы по исполнению государственной функции по рассмотрению жалоб на </w:t>
      </w:r>
      <w:r w:rsidR="00153887">
        <w:rPr>
          <w:color w:val="auto"/>
          <w:sz w:val="28"/>
          <w:szCs w:val="28"/>
        </w:rPr>
        <w:t xml:space="preserve">                   </w:t>
      </w:r>
      <w:r w:rsidR="00AB27DC" w:rsidRPr="00EE2974">
        <w:rPr>
          <w:color w:val="auto"/>
          <w:sz w:val="28"/>
          <w:szCs w:val="28"/>
        </w:rPr>
        <w:t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</w:t>
      </w:r>
      <w:r w:rsidR="000A0AC6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(подрядчиков, исполнителей) для обеспечения государственных и муниципальных нужд, утвержденного Приказом ФА</w:t>
      </w:r>
      <w:r w:rsidR="004018F8" w:rsidRPr="00EE2974">
        <w:rPr>
          <w:color w:val="auto"/>
          <w:sz w:val="28"/>
          <w:szCs w:val="28"/>
        </w:rPr>
        <w:t>С России от 19.11.2014</w:t>
      </w:r>
      <w:r w:rsidR="005F71F5" w:rsidRPr="00EE2974">
        <w:rPr>
          <w:color w:val="auto"/>
          <w:sz w:val="28"/>
          <w:szCs w:val="28"/>
        </w:rPr>
        <w:t xml:space="preserve"> </w:t>
      </w:r>
      <w:r w:rsidR="00C15CAA">
        <w:rPr>
          <w:color w:val="auto"/>
          <w:sz w:val="28"/>
          <w:szCs w:val="28"/>
        </w:rPr>
        <w:t xml:space="preserve">                  </w:t>
      </w:r>
      <w:r w:rsidR="004018F8" w:rsidRPr="00EE2974">
        <w:rPr>
          <w:color w:val="auto"/>
          <w:sz w:val="28"/>
          <w:szCs w:val="28"/>
        </w:rPr>
        <w:t>№ 727/14</w:t>
      </w:r>
      <w:r w:rsidR="004B6951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(далее – Административный регламент),</w:t>
      </w:r>
    </w:p>
    <w:p w:rsidR="00C15CAA" w:rsidRPr="00EE2974" w:rsidRDefault="00C15CAA" w:rsidP="00EC13A0">
      <w:pPr>
        <w:pStyle w:val="10"/>
        <w:tabs>
          <w:tab w:val="left" w:pos="9498"/>
        </w:tabs>
        <w:spacing w:line="400" w:lineRule="exact"/>
        <w:ind w:firstLine="567"/>
        <w:jc w:val="both"/>
        <w:rPr>
          <w:color w:val="auto"/>
          <w:sz w:val="28"/>
          <w:szCs w:val="28"/>
        </w:rPr>
      </w:pPr>
    </w:p>
    <w:p w:rsidR="004018F8" w:rsidRPr="00EE2974" w:rsidRDefault="00AB27DC" w:rsidP="00EC13A0">
      <w:pPr>
        <w:tabs>
          <w:tab w:val="center" w:pos="5106"/>
          <w:tab w:val="left" w:pos="7050"/>
          <w:tab w:val="left" w:pos="9498"/>
        </w:tabs>
        <w:spacing w:after="0" w:line="40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УСТАНОВИЛА:</w:t>
      </w:r>
    </w:p>
    <w:p w:rsidR="00B059F7" w:rsidRPr="00EE2974" w:rsidRDefault="00B059F7" w:rsidP="00EC13A0">
      <w:pPr>
        <w:tabs>
          <w:tab w:val="left" w:pos="9498"/>
        </w:tabs>
        <w:spacing w:after="0" w:line="400" w:lineRule="exac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33EB" w:rsidRPr="00EE2974" w:rsidRDefault="008233EB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Федеральную антимонопольную службу поступила жалоба Заявителя на действия Оператора электронной пл</w:t>
      </w:r>
      <w:r w:rsidR="00BF5B91" w:rsidRPr="00EE2974">
        <w:rPr>
          <w:rFonts w:ascii="Times New Roman" w:hAnsi="Times New Roman"/>
          <w:color w:val="auto"/>
          <w:sz w:val="28"/>
          <w:szCs w:val="28"/>
        </w:rPr>
        <w:t>о</w:t>
      </w:r>
      <w:r w:rsidR="00B51D5E" w:rsidRPr="00EE2974">
        <w:rPr>
          <w:rFonts w:ascii="Times New Roman" w:hAnsi="Times New Roman"/>
          <w:color w:val="auto"/>
          <w:sz w:val="28"/>
          <w:szCs w:val="28"/>
        </w:rPr>
        <w:t>щадки при проведении Заказчиком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, Оператором электронной площадки </w:t>
      </w:r>
      <w:r w:rsidR="00153887">
        <w:rPr>
          <w:rFonts w:ascii="Times New Roman" w:hAnsi="Times New Roman"/>
          <w:color w:val="auto"/>
          <w:sz w:val="28"/>
          <w:szCs w:val="28"/>
        </w:rPr>
        <w:t>Аукциона</w:t>
      </w:r>
      <w:r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8233EB" w:rsidRPr="00EE2974" w:rsidRDefault="00C15CAA" w:rsidP="00EC13A0">
      <w:pPr>
        <w:tabs>
          <w:tab w:val="left" w:pos="902"/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Согласно доводу жалобы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Заявителя, его права и законные интересы нарушены действиями Оператора электронной площадки, неправомерно возвратившего заявку Заявителя на участие в </w:t>
      </w:r>
      <w:r w:rsidR="00153887">
        <w:rPr>
          <w:rFonts w:ascii="Times New Roman" w:hAnsi="Times New Roman"/>
          <w:color w:val="auto"/>
          <w:sz w:val="28"/>
          <w:szCs w:val="28"/>
        </w:rPr>
        <w:t>Аукционе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8233EB" w:rsidRPr="00EE2974" w:rsidRDefault="008233EB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Представитель</w:t>
      </w:r>
      <w:r w:rsidR="00785B8A" w:rsidRPr="00EE2974">
        <w:rPr>
          <w:rFonts w:ascii="Times New Roman" w:hAnsi="Times New Roman"/>
          <w:color w:val="auto"/>
          <w:sz w:val="28"/>
          <w:szCs w:val="28"/>
        </w:rPr>
        <w:t xml:space="preserve"> Оператор</w:t>
      </w:r>
      <w:r w:rsidR="007F22D5" w:rsidRPr="00EE2974">
        <w:rPr>
          <w:rFonts w:ascii="Times New Roman" w:hAnsi="Times New Roman"/>
          <w:color w:val="auto"/>
          <w:sz w:val="28"/>
          <w:szCs w:val="28"/>
        </w:rPr>
        <w:t xml:space="preserve">а электронной площадки </w:t>
      </w:r>
      <w:r w:rsidR="00B411C7" w:rsidRPr="00EE2974">
        <w:rPr>
          <w:rFonts w:ascii="Times New Roman" w:hAnsi="Times New Roman"/>
          <w:color w:val="auto"/>
          <w:sz w:val="28"/>
          <w:szCs w:val="28"/>
        </w:rPr>
        <w:t>на заседании Комиссии</w:t>
      </w:r>
      <w:r w:rsidR="00785B8A" w:rsidRPr="00EE297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2974">
        <w:rPr>
          <w:rFonts w:ascii="Times New Roman" w:hAnsi="Times New Roman"/>
          <w:color w:val="auto"/>
          <w:sz w:val="28"/>
          <w:szCs w:val="28"/>
        </w:rPr>
        <w:t>не</w:t>
      </w:r>
      <w:r w:rsidR="003611F4" w:rsidRPr="00EE2974">
        <w:rPr>
          <w:rFonts w:ascii="Times New Roman" w:hAnsi="Times New Roman"/>
          <w:color w:val="auto"/>
          <w:sz w:val="28"/>
          <w:szCs w:val="28"/>
        </w:rPr>
        <w:t xml:space="preserve"> согласился с доводом Заявителя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и сообщил</w:t>
      </w:r>
      <w:r w:rsidR="005F6069" w:rsidRPr="00EE2974">
        <w:rPr>
          <w:rFonts w:ascii="Times New Roman" w:hAnsi="Times New Roman"/>
          <w:color w:val="auto"/>
          <w:sz w:val="28"/>
          <w:szCs w:val="28"/>
        </w:rPr>
        <w:t>,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что при проведении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Аукциона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Оператор электронной площадки действовал в соответствии с законодательством Российской Федерации о контрактной системе в сфере закупок.</w:t>
      </w:r>
    </w:p>
    <w:p w:rsidR="008233EB" w:rsidRPr="00EE2974" w:rsidRDefault="008233EB" w:rsidP="00EC13A0">
      <w:pPr>
        <w:tabs>
          <w:tab w:val="left" w:pos="902"/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результате рассмотрения жалобы и осуществления в соответствии с пунктом 1 части 15 статьи 99 Закона о контрактной системе внеплановой проверки в части действий Оператора электронной площадки Комиссия установила следующее.</w:t>
      </w:r>
    </w:p>
    <w:p w:rsidR="008233EB" w:rsidRPr="00EE2974" w:rsidRDefault="008233EB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8233EB" w:rsidRPr="00C36BB2" w:rsidRDefault="008233EB" w:rsidP="00EC13A0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 xml:space="preserve">извещение об осуществлении закупки размещено в </w:t>
      </w:r>
      <w:r w:rsidR="007F22D5" w:rsidRPr="00C36BB2">
        <w:rPr>
          <w:sz w:val="28"/>
          <w:szCs w:val="28"/>
        </w:rPr>
        <w:t>Е</w:t>
      </w:r>
      <w:r w:rsidR="00BF5B91" w:rsidRPr="00C36BB2">
        <w:rPr>
          <w:sz w:val="28"/>
          <w:szCs w:val="28"/>
        </w:rPr>
        <w:t>ИС</w:t>
      </w:r>
      <w:r w:rsidR="007F22D5" w:rsidRPr="00C36BB2">
        <w:rPr>
          <w:sz w:val="28"/>
          <w:szCs w:val="28"/>
        </w:rPr>
        <w:t xml:space="preserve"> – </w:t>
      </w:r>
      <w:r w:rsidR="003A79B5">
        <w:rPr>
          <w:sz w:val="28"/>
          <w:szCs w:val="28"/>
        </w:rPr>
        <w:t>27.0</w:t>
      </w:r>
      <w:r w:rsidR="00447675" w:rsidRPr="00C36BB2">
        <w:rPr>
          <w:sz w:val="28"/>
          <w:szCs w:val="28"/>
        </w:rPr>
        <w:t>1</w:t>
      </w:r>
      <w:r w:rsidR="003A79B5">
        <w:rPr>
          <w:sz w:val="28"/>
          <w:szCs w:val="28"/>
        </w:rPr>
        <w:t>.2021</w:t>
      </w:r>
      <w:r w:rsidRPr="00C36BB2">
        <w:rPr>
          <w:sz w:val="28"/>
          <w:szCs w:val="28"/>
        </w:rPr>
        <w:t>;</w:t>
      </w:r>
    </w:p>
    <w:p w:rsidR="008233EB" w:rsidRPr="00C36BB2" w:rsidRDefault="008233EB" w:rsidP="00EC13A0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 xml:space="preserve">способ определения поставщика (подрядчика, исполнителя) – </w:t>
      </w:r>
      <w:r w:rsidR="00153887">
        <w:rPr>
          <w:sz w:val="28"/>
          <w:szCs w:val="28"/>
        </w:rPr>
        <w:t>Аукцион</w:t>
      </w:r>
      <w:r w:rsidRPr="00C36BB2">
        <w:rPr>
          <w:sz w:val="28"/>
          <w:szCs w:val="28"/>
        </w:rPr>
        <w:t>;</w:t>
      </w:r>
    </w:p>
    <w:p w:rsidR="00B059F7" w:rsidRPr="00C36BB2" w:rsidRDefault="008233EB" w:rsidP="00EC13A0">
      <w:pPr>
        <w:pStyle w:val="ab"/>
        <w:numPr>
          <w:ilvl w:val="0"/>
          <w:numId w:val="9"/>
        </w:numPr>
        <w:tabs>
          <w:tab w:val="left" w:pos="851"/>
          <w:tab w:val="left" w:pos="9498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>начальная (максимальная) цена контракта –</w:t>
      </w:r>
      <w:r w:rsidR="00BF5B91" w:rsidRPr="00C36BB2">
        <w:rPr>
          <w:sz w:val="28"/>
          <w:szCs w:val="28"/>
        </w:rPr>
        <w:t xml:space="preserve"> </w:t>
      </w:r>
      <w:r w:rsidR="00153887" w:rsidRPr="00153887">
        <w:rPr>
          <w:sz w:val="28"/>
          <w:szCs w:val="28"/>
        </w:rPr>
        <w:t xml:space="preserve">2 116 183,86 </w:t>
      </w:r>
      <w:r w:rsidR="00075B79" w:rsidRPr="00C36BB2">
        <w:rPr>
          <w:sz w:val="28"/>
          <w:szCs w:val="28"/>
        </w:rPr>
        <w:t>рубл</w:t>
      </w:r>
      <w:r w:rsidR="00447675" w:rsidRPr="00C36BB2">
        <w:rPr>
          <w:sz w:val="28"/>
          <w:szCs w:val="28"/>
        </w:rPr>
        <w:t>я</w:t>
      </w:r>
      <w:r w:rsidRPr="00C36BB2">
        <w:rPr>
          <w:sz w:val="28"/>
          <w:szCs w:val="28"/>
        </w:rPr>
        <w:t>;</w:t>
      </w:r>
    </w:p>
    <w:p w:rsidR="00B61A37" w:rsidRPr="00C36BB2" w:rsidRDefault="008233EB" w:rsidP="00EC13A0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400" w:lineRule="exact"/>
        <w:ind w:left="0" w:firstLine="567"/>
        <w:jc w:val="both"/>
        <w:rPr>
          <w:sz w:val="28"/>
          <w:szCs w:val="28"/>
          <w:lang w:eastAsia="ar-SA"/>
        </w:rPr>
      </w:pPr>
      <w:r w:rsidRPr="00C36BB2">
        <w:rPr>
          <w:sz w:val="28"/>
          <w:szCs w:val="28"/>
        </w:rPr>
        <w:t xml:space="preserve">источник финансирования </w:t>
      </w:r>
      <w:r w:rsidR="008B2072" w:rsidRPr="00C36BB2">
        <w:rPr>
          <w:sz w:val="28"/>
          <w:szCs w:val="28"/>
        </w:rPr>
        <w:t xml:space="preserve">– </w:t>
      </w:r>
      <w:r w:rsidR="00B61A37" w:rsidRPr="00B61A37">
        <w:rPr>
          <w:sz w:val="28"/>
          <w:szCs w:val="28"/>
        </w:rPr>
        <w:t>ПФХД: средства по обязательному медицинскому страхованию</w:t>
      </w:r>
      <w:r w:rsidR="00000235">
        <w:rPr>
          <w:sz w:val="28"/>
          <w:szCs w:val="28"/>
        </w:rPr>
        <w:t>;</w:t>
      </w:r>
      <w:r w:rsidR="00B61A37" w:rsidRPr="00B61A37">
        <w:rPr>
          <w:sz w:val="28"/>
          <w:szCs w:val="28"/>
        </w:rPr>
        <w:t xml:space="preserve"> </w:t>
      </w:r>
    </w:p>
    <w:p w:rsidR="00842B34" w:rsidRPr="00C36BB2" w:rsidRDefault="008233EB" w:rsidP="00EC13A0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>дата окончания подачи заявок на участие в</w:t>
      </w:r>
      <w:r w:rsidR="007F22D5" w:rsidRPr="00C36BB2">
        <w:rPr>
          <w:sz w:val="28"/>
          <w:szCs w:val="28"/>
        </w:rPr>
        <w:t xml:space="preserve"> </w:t>
      </w:r>
      <w:r w:rsidR="00153887">
        <w:rPr>
          <w:sz w:val="28"/>
          <w:szCs w:val="28"/>
        </w:rPr>
        <w:t>Аукционе</w:t>
      </w:r>
      <w:r w:rsidR="007F22D5" w:rsidRPr="00C36BB2">
        <w:rPr>
          <w:sz w:val="28"/>
          <w:szCs w:val="28"/>
        </w:rPr>
        <w:t xml:space="preserve"> – </w:t>
      </w:r>
      <w:r w:rsidR="00153887">
        <w:rPr>
          <w:sz w:val="28"/>
          <w:szCs w:val="28"/>
        </w:rPr>
        <w:t>04.02.2021</w:t>
      </w:r>
      <w:r w:rsidRPr="00C36BB2">
        <w:rPr>
          <w:sz w:val="28"/>
          <w:szCs w:val="28"/>
        </w:rPr>
        <w:t>;</w:t>
      </w:r>
    </w:p>
    <w:p w:rsidR="00806DF9" w:rsidRPr="00C36BB2" w:rsidRDefault="00153887" w:rsidP="00EC13A0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4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16 статьи 66 Закона о контрактной системе Аукцион признан несостоявшимся, поскольку </w:t>
      </w:r>
      <w:r w:rsidR="00B61A37">
        <w:rPr>
          <w:sz w:val="28"/>
          <w:szCs w:val="28"/>
        </w:rPr>
        <w:t>не подано ни одной заявки на участие в Аукционе.</w:t>
      </w:r>
    </w:p>
    <w:p w:rsidR="008233EB" w:rsidRPr="00EE2974" w:rsidRDefault="006B7C81" w:rsidP="00EC13A0">
      <w:pPr>
        <w:tabs>
          <w:tab w:val="left" w:pos="902"/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Согласно доводу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Заявителя, Оператор</w:t>
      </w:r>
      <w:r w:rsidRPr="00EE2974">
        <w:rPr>
          <w:rFonts w:ascii="Times New Roman" w:hAnsi="Times New Roman"/>
          <w:color w:val="auto"/>
          <w:sz w:val="28"/>
          <w:szCs w:val="28"/>
        </w:rPr>
        <w:t>ом электронной площадки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неправомерно возвра</w:t>
      </w:r>
      <w:r w:rsidRPr="00EE2974">
        <w:rPr>
          <w:rFonts w:ascii="Times New Roman" w:hAnsi="Times New Roman"/>
          <w:color w:val="auto"/>
          <w:sz w:val="28"/>
          <w:szCs w:val="28"/>
        </w:rPr>
        <w:t>щена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заявк</w:t>
      </w:r>
      <w:r w:rsidRPr="00EE2974">
        <w:rPr>
          <w:rFonts w:ascii="Times New Roman" w:hAnsi="Times New Roman"/>
          <w:color w:val="auto"/>
          <w:sz w:val="28"/>
          <w:szCs w:val="28"/>
        </w:rPr>
        <w:t>а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Заявителя на участие в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Аукционе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B66CC9" w:rsidRDefault="00B66CC9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частью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 12 статьи </w:t>
      </w:r>
      <w:r w:rsidR="00B61A37">
        <w:rPr>
          <w:rFonts w:ascii="Times New Roman" w:hAnsi="Times New Roman"/>
          <w:color w:val="auto"/>
          <w:sz w:val="28"/>
          <w:szCs w:val="28"/>
        </w:rPr>
        <w:t>66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 Закона о контрактной системе </w:t>
      </w:r>
      <w:r w:rsidR="00B61A37" w:rsidRPr="00B61A37">
        <w:rPr>
          <w:rFonts w:ascii="Times New Roman" w:hAnsi="Times New Roman"/>
          <w:color w:val="auto"/>
          <w:sz w:val="28"/>
          <w:szCs w:val="28"/>
        </w:rPr>
        <w:t>одновременно с возвратом заявки на участие в электронном аукционе в соответствии с частью 20 статьи 44 Закона о контрактной системе, частью 11 статьи 66 Закона о контрактной системе оператор электронной площадки обязан уведомить в форме электронного документа участника такого аукциона, подавшего данную заявку, об основаниях ее возврата с указанием положений настоящего Федерального закона, которые были нарушены. Возврат заявок на участие в таком аукционе оператором электронной площадки по иным основаниям не допускается.</w:t>
      </w:r>
    </w:p>
    <w:p w:rsidR="008233EB" w:rsidRPr="00EE2974" w:rsidRDefault="006B7C81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lastRenderedPageBreak/>
        <w:t>Согласно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извещени</w:t>
      </w:r>
      <w:r w:rsidRPr="00EE2974">
        <w:rPr>
          <w:rFonts w:ascii="Times New Roman" w:hAnsi="Times New Roman"/>
          <w:color w:val="auto"/>
          <w:sz w:val="28"/>
          <w:szCs w:val="28"/>
        </w:rPr>
        <w:t>ю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о проведении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Аукциона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срок окончания подачи заявок на участие в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Аукционе</w:t>
      </w:r>
      <w:r w:rsidR="007F22D5" w:rsidRPr="00EE2974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B61A37">
        <w:rPr>
          <w:rFonts w:ascii="Times New Roman" w:hAnsi="Times New Roman"/>
          <w:color w:val="auto"/>
          <w:sz w:val="28"/>
          <w:szCs w:val="28"/>
        </w:rPr>
        <w:t>0</w:t>
      </w:r>
      <w:r w:rsidR="00025180">
        <w:rPr>
          <w:rFonts w:ascii="Times New Roman" w:hAnsi="Times New Roman"/>
          <w:color w:val="auto"/>
          <w:sz w:val="28"/>
          <w:szCs w:val="28"/>
        </w:rPr>
        <w:t>4</w:t>
      </w:r>
      <w:r w:rsidR="00B61A37">
        <w:rPr>
          <w:rFonts w:ascii="Times New Roman" w:hAnsi="Times New Roman"/>
          <w:color w:val="auto"/>
          <w:sz w:val="28"/>
          <w:szCs w:val="28"/>
        </w:rPr>
        <w:t>.02.2021</w:t>
      </w:r>
      <w:r w:rsidR="007F22D5" w:rsidRPr="00EE2974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B61A37">
        <w:rPr>
          <w:rFonts w:ascii="Times New Roman" w:hAnsi="Times New Roman"/>
          <w:color w:val="auto"/>
          <w:sz w:val="28"/>
          <w:szCs w:val="28"/>
        </w:rPr>
        <w:t>07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:</w:t>
      </w:r>
      <w:r w:rsidR="00D06835" w:rsidRPr="00EE2974">
        <w:rPr>
          <w:rFonts w:ascii="Times New Roman" w:hAnsi="Times New Roman"/>
          <w:color w:val="auto"/>
          <w:sz w:val="28"/>
          <w:szCs w:val="28"/>
        </w:rPr>
        <w:t>0</w:t>
      </w:r>
      <w:r w:rsidR="00347C4B">
        <w:rPr>
          <w:rFonts w:ascii="Times New Roman" w:hAnsi="Times New Roman"/>
          <w:color w:val="auto"/>
          <w:sz w:val="28"/>
          <w:szCs w:val="28"/>
        </w:rPr>
        <w:t>0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8233EB" w:rsidRPr="00EE2974" w:rsidRDefault="006B7C81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соответствии с извещением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о проведении </w:t>
      </w:r>
      <w:r w:rsidR="00B61A37" w:rsidRPr="00B61A37">
        <w:rPr>
          <w:rFonts w:ascii="Times New Roman" w:hAnsi="Times New Roman"/>
          <w:color w:val="auto"/>
          <w:sz w:val="28"/>
          <w:szCs w:val="28"/>
        </w:rPr>
        <w:t>Аукциона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, размер обеспечения заявки на участие в </w:t>
      </w:r>
      <w:r w:rsidR="00B61A37" w:rsidRPr="00B61A37">
        <w:rPr>
          <w:rFonts w:ascii="Times New Roman" w:hAnsi="Times New Roman"/>
          <w:color w:val="auto"/>
          <w:sz w:val="28"/>
          <w:szCs w:val="28"/>
        </w:rPr>
        <w:t xml:space="preserve">Аукционе 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составляет </w:t>
      </w:r>
      <w:r w:rsidR="00B61A37">
        <w:rPr>
          <w:rFonts w:ascii="Times New Roman" w:hAnsi="Times New Roman"/>
          <w:sz w:val="28"/>
          <w:szCs w:val="28"/>
        </w:rPr>
        <w:t>21 161,</w:t>
      </w:r>
      <w:r w:rsidR="00B61A37" w:rsidRPr="00B61A37">
        <w:rPr>
          <w:rFonts w:ascii="Times New Roman" w:hAnsi="Times New Roman"/>
          <w:sz w:val="28"/>
          <w:szCs w:val="28"/>
        </w:rPr>
        <w:t xml:space="preserve">84 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руб</w:t>
      </w:r>
      <w:r w:rsidR="00B61A37">
        <w:rPr>
          <w:rFonts w:ascii="Times New Roman" w:hAnsi="Times New Roman"/>
          <w:color w:val="auto"/>
          <w:sz w:val="28"/>
          <w:szCs w:val="28"/>
        </w:rPr>
        <w:t>ль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B66CC9" w:rsidRPr="00B66CC9" w:rsidRDefault="00B66CC9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66CC9">
        <w:rPr>
          <w:rFonts w:ascii="Times New Roman" w:hAnsi="Times New Roman"/>
          <w:color w:val="auto"/>
          <w:sz w:val="28"/>
          <w:szCs w:val="28"/>
        </w:rPr>
        <w:t xml:space="preserve">Из жалобы Заявителя следует, что </w:t>
      </w:r>
      <w:r w:rsidR="00411AE4">
        <w:rPr>
          <w:rFonts w:ascii="Times New Roman" w:hAnsi="Times New Roman"/>
          <w:color w:val="auto"/>
          <w:sz w:val="28"/>
          <w:szCs w:val="28"/>
        </w:rPr>
        <w:t>Оператором электронной площадки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 неправомерно возвращена заявка на участие в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Аукционе</w:t>
      </w:r>
      <w:r w:rsidRPr="00B66CC9">
        <w:rPr>
          <w:rFonts w:ascii="Times New Roman" w:hAnsi="Times New Roman"/>
          <w:color w:val="auto"/>
          <w:sz w:val="28"/>
          <w:szCs w:val="28"/>
        </w:rPr>
        <w:t>.</w:t>
      </w:r>
    </w:p>
    <w:p w:rsidR="00B66CC9" w:rsidRDefault="00B66CC9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66CC9">
        <w:rPr>
          <w:rFonts w:ascii="Times New Roman" w:hAnsi="Times New Roman"/>
          <w:color w:val="auto"/>
          <w:sz w:val="28"/>
          <w:szCs w:val="28"/>
        </w:rPr>
        <w:t xml:space="preserve">Представитель Оператора электронной площадки на заседании Комиссии представил сведения, согласно которым Заявителем при выборе специального счета для участия в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Аукционе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 Заявителем указан специальный счет                                      № 40702810</w:t>
      </w:r>
      <w:r w:rsidR="00B61A37">
        <w:rPr>
          <w:rFonts w:ascii="Times New Roman" w:hAnsi="Times New Roman"/>
          <w:color w:val="auto"/>
          <w:sz w:val="28"/>
          <w:szCs w:val="28"/>
        </w:rPr>
        <w:t>949770038570</w:t>
      </w:r>
      <w:r w:rsidRPr="00B66CC9">
        <w:rPr>
          <w:rFonts w:ascii="Times New Roman" w:hAnsi="Times New Roman"/>
          <w:color w:val="auto"/>
          <w:sz w:val="28"/>
          <w:szCs w:val="28"/>
        </w:rPr>
        <w:t>, о</w:t>
      </w:r>
      <w:r w:rsidR="00205384">
        <w:rPr>
          <w:rFonts w:ascii="Times New Roman" w:hAnsi="Times New Roman"/>
          <w:color w:val="auto"/>
          <w:sz w:val="28"/>
          <w:szCs w:val="28"/>
        </w:rPr>
        <w:t xml:space="preserve">ткрытый в </w:t>
      </w:r>
      <w:r w:rsidR="002B540D">
        <w:rPr>
          <w:rFonts w:ascii="Times New Roman" w:hAnsi="Times New Roman"/>
          <w:color w:val="auto"/>
          <w:sz w:val="28"/>
          <w:szCs w:val="28"/>
        </w:rPr>
        <w:t>П</w:t>
      </w:r>
      <w:r w:rsidRPr="00B66CC9">
        <w:rPr>
          <w:rFonts w:ascii="Times New Roman" w:hAnsi="Times New Roman"/>
          <w:color w:val="auto"/>
          <w:sz w:val="28"/>
          <w:szCs w:val="28"/>
        </w:rPr>
        <w:t>АО «</w:t>
      </w:r>
      <w:r w:rsidR="002B540D">
        <w:rPr>
          <w:rFonts w:ascii="Times New Roman" w:hAnsi="Times New Roman"/>
          <w:color w:val="auto"/>
          <w:sz w:val="28"/>
          <w:szCs w:val="28"/>
        </w:rPr>
        <w:t>Сбербанк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» (далее – Банк), вместе с тем, </w:t>
      </w:r>
      <w:r>
        <w:rPr>
          <w:rFonts w:ascii="Times New Roman" w:hAnsi="Times New Roman"/>
          <w:color w:val="auto"/>
          <w:sz w:val="28"/>
          <w:szCs w:val="28"/>
        </w:rPr>
        <w:t>в регламентированный срок ответ от Банка не поступил.</w:t>
      </w:r>
    </w:p>
    <w:p w:rsidR="00205384" w:rsidRPr="00205384" w:rsidRDefault="00205384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05384">
        <w:rPr>
          <w:rFonts w:ascii="Times New Roman" w:hAnsi="Times New Roman"/>
          <w:sz w:val="28"/>
          <w:szCs w:val="28"/>
        </w:rPr>
        <w:t xml:space="preserve">При этом представитель Оператора электронной площадки на заседании Комиссии не представил сведений, свидетельствующих о том, что Оператором электронной площадки </w:t>
      </w:r>
      <w:r w:rsidR="00B61A37">
        <w:rPr>
          <w:rFonts w:ascii="Times New Roman" w:hAnsi="Times New Roman"/>
          <w:sz w:val="28"/>
          <w:szCs w:val="28"/>
        </w:rPr>
        <w:t>04.0</w:t>
      </w:r>
      <w:r>
        <w:rPr>
          <w:rFonts w:ascii="Times New Roman" w:hAnsi="Times New Roman"/>
          <w:sz w:val="28"/>
          <w:szCs w:val="28"/>
        </w:rPr>
        <w:t>2</w:t>
      </w:r>
      <w:r w:rsidR="00B61A37">
        <w:rPr>
          <w:rFonts w:ascii="Times New Roman" w:hAnsi="Times New Roman"/>
          <w:sz w:val="28"/>
          <w:szCs w:val="28"/>
        </w:rPr>
        <w:t>.2021</w:t>
      </w:r>
      <w:r w:rsidRPr="00205384">
        <w:rPr>
          <w:rFonts w:ascii="Times New Roman" w:hAnsi="Times New Roman"/>
          <w:sz w:val="28"/>
          <w:szCs w:val="28"/>
        </w:rPr>
        <w:t xml:space="preserve"> обеспечена надежность функционирования программно-аппаратных средств, используемых при проведении электронных процедур путем взаимодействия с соответствующим банком в порядке, установленным в соответствии с Законом о контрактной системе.</w:t>
      </w:r>
    </w:p>
    <w:p w:rsidR="00205384" w:rsidRDefault="00205384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05384">
        <w:rPr>
          <w:rFonts w:ascii="Times New Roman" w:hAnsi="Times New Roman"/>
          <w:sz w:val="28"/>
          <w:szCs w:val="28"/>
        </w:rPr>
        <w:t xml:space="preserve">Таким образом, учитывая установленный частью 12 статьи </w:t>
      </w:r>
      <w:r w:rsidR="00B61A37">
        <w:rPr>
          <w:rFonts w:ascii="Times New Roman" w:hAnsi="Times New Roman"/>
          <w:sz w:val="28"/>
          <w:szCs w:val="28"/>
        </w:rPr>
        <w:t>66</w:t>
      </w:r>
      <w:r w:rsidRPr="00205384">
        <w:rPr>
          <w:rFonts w:ascii="Times New Roman" w:hAnsi="Times New Roman"/>
          <w:sz w:val="28"/>
          <w:szCs w:val="28"/>
        </w:rPr>
        <w:t xml:space="preserve"> Закона о контрактной системе запрет на возврат заявки по иным основаниям, не предусмотренным частью 20 статьи 44, частью 11 статьи </w:t>
      </w:r>
      <w:r w:rsidR="00B61A37">
        <w:rPr>
          <w:rFonts w:ascii="Times New Roman" w:hAnsi="Times New Roman"/>
          <w:sz w:val="28"/>
          <w:szCs w:val="28"/>
        </w:rPr>
        <w:t>66</w:t>
      </w:r>
      <w:r w:rsidRPr="00205384">
        <w:rPr>
          <w:rFonts w:ascii="Times New Roman" w:hAnsi="Times New Roman"/>
          <w:sz w:val="28"/>
          <w:szCs w:val="28"/>
        </w:rPr>
        <w:t xml:space="preserve"> Закона о контрактной системе, Комиссия приходит к выводу, что действия Оператора электронной площадки нарушают часть 12 статьи </w:t>
      </w:r>
      <w:r w:rsidR="00B61A37">
        <w:rPr>
          <w:rFonts w:ascii="Times New Roman" w:hAnsi="Times New Roman"/>
          <w:sz w:val="28"/>
          <w:szCs w:val="28"/>
        </w:rPr>
        <w:t>66</w:t>
      </w:r>
      <w:r w:rsidRPr="00205384">
        <w:rPr>
          <w:rFonts w:ascii="Times New Roman" w:hAnsi="Times New Roman"/>
          <w:sz w:val="28"/>
          <w:szCs w:val="28"/>
        </w:rPr>
        <w:t xml:space="preserve"> Закона о контрактной системе, что содержит признаки состава административного правонарушения, предусмотренного частью 5 статьи 7.31.1 Кодекса Российской Федерации об административных правонарушениях. </w:t>
      </w:r>
    </w:p>
    <w:p w:rsidR="00205384" w:rsidRDefault="00205384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Заявитель в составе жалобы </w:t>
      </w:r>
      <w:r w:rsidRPr="00205384">
        <w:rPr>
          <w:rFonts w:ascii="Times New Roman" w:hAnsi="Times New Roman"/>
          <w:sz w:val="28"/>
          <w:szCs w:val="28"/>
        </w:rPr>
        <w:t>не представил дока</w:t>
      </w:r>
      <w:r>
        <w:rPr>
          <w:rFonts w:ascii="Times New Roman" w:hAnsi="Times New Roman"/>
          <w:sz w:val="28"/>
          <w:szCs w:val="28"/>
        </w:rPr>
        <w:t>зательств, подтверждающих</w:t>
      </w:r>
      <w:r w:rsidRPr="00205384">
        <w:rPr>
          <w:rFonts w:ascii="Times New Roman" w:hAnsi="Times New Roman"/>
          <w:sz w:val="28"/>
          <w:szCs w:val="28"/>
        </w:rPr>
        <w:t xml:space="preserve"> наличие на специальном счете на момент окончания подачи заявки на участие в </w:t>
      </w:r>
      <w:r w:rsidR="00B61A37">
        <w:rPr>
          <w:rFonts w:ascii="Times New Roman" w:hAnsi="Times New Roman"/>
          <w:sz w:val="28"/>
          <w:szCs w:val="28"/>
        </w:rPr>
        <w:t>Аукционе</w:t>
      </w:r>
      <w:r w:rsidRPr="00205384">
        <w:rPr>
          <w:rFonts w:ascii="Times New Roman" w:hAnsi="Times New Roman"/>
          <w:sz w:val="28"/>
          <w:szCs w:val="28"/>
        </w:rPr>
        <w:t xml:space="preserve"> свободных для блокирования денежных средств в размере, достаточном для обеспечения заявки на участие в </w:t>
      </w:r>
      <w:r w:rsidR="00B61A37">
        <w:rPr>
          <w:rFonts w:ascii="Times New Roman" w:hAnsi="Times New Roman"/>
          <w:sz w:val="28"/>
          <w:szCs w:val="28"/>
        </w:rPr>
        <w:t>Аукционе</w:t>
      </w:r>
      <w:r w:rsidRPr="00205384">
        <w:rPr>
          <w:rFonts w:ascii="Times New Roman" w:hAnsi="Times New Roman"/>
          <w:sz w:val="28"/>
          <w:szCs w:val="28"/>
        </w:rPr>
        <w:t>, в связи с чем вышеуказанное нарушение не повлияло на результат определения поставщика (подрядчика, исполнителя).</w:t>
      </w:r>
    </w:p>
    <w:p w:rsidR="008233EB" w:rsidRPr="00EE2974" w:rsidRDefault="008233EB" w:rsidP="00EC13A0">
      <w:pPr>
        <w:tabs>
          <w:tab w:val="left" w:pos="9498"/>
        </w:tabs>
        <w:spacing w:after="0" w:line="40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На основании изложенного и руководствуясь частью</w:t>
      </w:r>
      <w:r w:rsidR="00007BCF" w:rsidRPr="00EE2974">
        <w:rPr>
          <w:rFonts w:ascii="Times New Roman" w:hAnsi="Times New Roman"/>
          <w:color w:val="auto"/>
          <w:sz w:val="28"/>
          <w:szCs w:val="28"/>
        </w:rPr>
        <w:t xml:space="preserve"> 1 статьи 2, пунктом 1 части 15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статьи 99, частью 8 статьи 106 Закона о контрактной системе, Административным регламентом Комиссия</w:t>
      </w:r>
    </w:p>
    <w:p w:rsidR="00A54455" w:rsidRDefault="00A54455" w:rsidP="00131D60">
      <w:pPr>
        <w:tabs>
          <w:tab w:val="center" w:pos="5106"/>
          <w:tab w:val="left" w:pos="6874"/>
          <w:tab w:val="left" w:pos="9498"/>
        </w:tabs>
        <w:spacing w:after="0" w:line="3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455" w:rsidRDefault="00A54455" w:rsidP="00131D60">
      <w:pPr>
        <w:tabs>
          <w:tab w:val="center" w:pos="5106"/>
          <w:tab w:val="left" w:pos="6874"/>
          <w:tab w:val="left" w:pos="9498"/>
        </w:tabs>
        <w:spacing w:after="0" w:line="3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33EB" w:rsidRPr="005F71F5" w:rsidRDefault="008233EB" w:rsidP="00131D60">
      <w:pPr>
        <w:tabs>
          <w:tab w:val="center" w:pos="5106"/>
          <w:tab w:val="left" w:pos="6874"/>
          <w:tab w:val="left" w:pos="9498"/>
        </w:tabs>
        <w:spacing w:after="0" w:line="3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5F71F5">
        <w:rPr>
          <w:rFonts w:ascii="Times New Roman" w:hAnsi="Times New Roman"/>
          <w:color w:val="auto"/>
          <w:sz w:val="28"/>
          <w:szCs w:val="28"/>
        </w:rPr>
        <w:t>РЕШИЛА:</w:t>
      </w:r>
    </w:p>
    <w:p w:rsidR="008233EB" w:rsidRPr="005F71F5" w:rsidRDefault="005F71F5" w:rsidP="005F71F5">
      <w:pPr>
        <w:tabs>
          <w:tab w:val="left" w:pos="6987"/>
          <w:tab w:val="left" w:pos="9498"/>
        </w:tabs>
        <w:spacing w:after="0" w:line="380" w:lineRule="exac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F71F5">
        <w:rPr>
          <w:rFonts w:ascii="Times New Roman" w:hAnsi="Times New Roman"/>
          <w:color w:val="auto"/>
          <w:sz w:val="28"/>
          <w:szCs w:val="28"/>
        </w:rPr>
        <w:tab/>
      </w:r>
    </w:p>
    <w:p w:rsidR="00205384" w:rsidRPr="00500B4F" w:rsidRDefault="00205384" w:rsidP="00500B4F">
      <w:pPr>
        <w:pStyle w:val="ab"/>
        <w:numPr>
          <w:ilvl w:val="0"/>
          <w:numId w:val="7"/>
        </w:numPr>
        <w:tabs>
          <w:tab w:val="left" w:pos="4595"/>
        </w:tabs>
        <w:spacing w:line="380" w:lineRule="exact"/>
        <w:ind w:left="0" w:firstLine="567"/>
        <w:jc w:val="both"/>
        <w:rPr>
          <w:sz w:val="28"/>
          <w:szCs w:val="28"/>
        </w:rPr>
      </w:pPr>
      <w:r w:rsidRPr="00500B4F">
        <w:rPr>
          <w:sz w:val="28"/>
          <w:szCs w:val="28"/>
        </w:rPr>
        <w:t xml:space="preserve">Признать жалобу </w:t>
      </w:r>
      <w:r w:rsidR="00500B4F" w:rsidRPr="00500B4F">
        <w:rPr>
          <w:sz w:val="28"/>
          <w:szCs w:val="28"/>
        </w:rPr>
        <w:t>ООО «</w:t>
      </w:r>
      <w:proofErr w:type="spellStart"/>
      <w:r w:rsidR="00B61A37">
        <w:rPr>
          <w:sz w:val="28"/>
          <w:szCs w:val="28"/>
        </w:rPr>
        <w:t>Адванта</w:t>
      </w:r>
      <w:proofErr w:type="spellEnd"/>
      <w:r w:rsidR="00500B4F" w:rsidRPr="00500B4F">
        <w:rPr>
          <w:sz w:val="28"/>
          <w:szCs w:val="28"/>
        </w:rPr>
        <w:t xml:space="preserve">» </w:t>
      </w:r>
      <w:r w:rsidRPr="00500B4F">
        <w:rPr>
          <w:sz w:val="28"/>
          <w:szCs w:val="28"/>
        </w:rPr>
        <w:t>обоснованной.</w:t>
      </w:r>
    </w:p>
    <w:p w:rsidR="00205384" w:rsidRPr="00500B4F" w:rsidRDefault="00205384" w:rsidP="00500B4F">
      <w:pPr>
        <w:pStyle w:val="ab"/>
        <w:numPr>
          <w:ilvl w:val="0"/>
          <w:numId w:val="7"/>
        </w:numPr>
        <w:tabs>
          <w:tab w:val="left" w:pos="4595"/>
        </w:tabs>
        <w:spacing w:line="380" w:lineRule="exact"/>
        <w:ind w:left="0" w:firstLine="567"/>
        <w:jc w:val="both"/>
        <w:rPr>
          <w:sz w:val="28"/>
          <w:szCs w:val="28"/>
        </w:rPr>
      </w:pPr>
      <w:r w:rsidRPr="00500B4F">
        <w:rPr>
          <w:sz w:val="28"/>
          <w:szCs w:val="28"/>
        </w:rPr>
        <w:t xml:space="preserve">Признать в действиях Оператора электронной площадки нарушение части 12 статьи </w:t>
      </w:r>
      <w:r w:rsidR="00B61A37">
        <w:rPr>
          <w:sz w:val="28"/>
          <w:szCs w:val="28"/>
        </w:rPr>
        <w:t>66</w:t>
      </w:r>
      <w:r w:rsidRPr="00500B4F">
        <w:rPr>
          <w:sz w:val="28"/>
          <w:szCs w:val="28"/>
        </w:rPr>
        <w:t xml:space="preserve"> Закона о контрактной системе. </w:t>
      </w:r>
    </w:p>
    <w:p w:rsidR="00205384" w:rsidRPr="00500B4F" w:rsidRDefault="00205384" w:rsidP="00500B4F">
      <w:pPr>
        <w:pStyle w:val="ab"/>
        <w:numPr>
          <w:ilvl w:val="0"/>
          <w:numId w:val="7"/>
        </w:numPr>
        <w:tabs>
          <w:tab w:val="left" w:pos="4595"/>
        </w:tabs>
        <w:spacing w:line="380" w:lineRule="exact"/>
        <w:ind w:left="0" w:firstLine="567"/>
        <w:jc w:val="both"/>
        <w:rPr>
          <w:sz w:val="28"/>
          <w:szCs w:val="28"/>
        </w:rPr>
      </w:pPr>
      <w:r w:rsidRPr="00500B4F">
        <w:rPr>
          <w:sz w:val="28"/>
          <w:szCs w:val="28"/>
        </w:rPr>
        <w:t>В связи с тем, что выявленное нарушение не повлияло на результаты определения поставщика (подрядчика, исполнителя), предписание не выдавать.</w:t>
      </w:r>
    </w:p>
    <w:p w:rsidR="008233EB" w:rsidRPr="00500B4F" w:rsidRDefault="00205384" w:rsidP="00500B4F">
      <w:pPr>
        <w:pStyle w:val="ab"/>
        <w:numPr>
          <w:ilvl w:val="0"/>
          <w:numId w:val="7"/>
        </w:numPr>
        <w:tabs>
          <w:tab w:val="left" w:pos="4595"/>
        </w:tabs>
        <w:spacing w:line="380" w:lineRule="exact"/>
        <w:ind w:left="0" w:firstLine="567"/>
        <w:jc w:val="both"/>
        <w:rPr>
          <w:sz w:val="28"/>
          <w:szCs w:val="28"/>
        </w:rPr>
      </w:pPr>
      <w:r w:rsidRPr="00500B4F">
        <w:rPr>
          <w:sz w:val="28"/>
          <w:szCs w:val="28"/>
        </w:rPr>
        <w:t xml:space="preserve">Передать материалы от </w:t>
      </w:r>
      <w:r w:rsidR="00B61A37">
        <w:rPr>
          <w:sz w:val="28"/>
          <w:szCs w:val="28"/>
        </w:rPr>
        <w:t>10.0</w:t>
      </w:r>
      <w:r w:rsidR="00500B4F" w:rsidRPr="00500B4F">
        <w:rPr>
          <w:sz w:val="28"/>
          <w:szCs w:val="28"/>
        </w:rPr>
        <w:t>2</w:t>
      </w:r>
      <w:r w:rsidR="00B61A37">
        <w:rPr>
          <w:sz w:val="28"/>
          <w:szCs w:val="28"/>
        </w:rPr>
        <w:t>.2021</w:t>
      </w:r>
      <w:r w:rsidRPr="00500B4F">
        <w:rPr>
          <w:sz w:val="28"/>
          <w:szCs w:val="28"/>
        </w:rPr>
        <w:t xml:space="preserve"> по делу № </w:t>
      </w:r>
      <w:r w:rsidR="006B56BC">
        <w:rPr>
          <w:sz w:val="28"/>
          <w:szCs w:val="28"/>
        </w:rPr>
        <w:t>21</w:t>
      </w:r>
      <w:r w:rsidRPr="00500B4F">
        <w:rPr>
          <w:sz w:val="28"/>
          <w:szCs w:val="28"/>
        </w:rPr>
        <w:t>/44/105/</w:t>
      </w:r>
      <w:r w:rsidR="00162541">
        <w:rPr>
          <w:sz w:val="28"/>
          <w:szCs w:val="28"/>
        </w:rPr>
        <w:t>107</w:t>
      </w:r>
      <w:r w:rsidR="00B61A37">
        <w:rPr>
          <w:sz w:val="28"/>
          <w:szCs w:val="28"/>
        </w:rPr>
        <w:t xml:space="preserve"> </w:t>
      </w:r>
      <w:r w:rsidRPr="00500B4F">
        <w:rPr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  <w:r w:rsidR="008641D4" w:rsidRPr="00500B4F">
        <w:rPr>
          <w:sz w:val="28"/>
          <w:szCs w:val="28"/>
        </w:rPr>
        <w:tab/>
      </w:r>
    </w:p>
    <w:p w:rsidR="00500B4F" w:rsidRPr="005F71F5" w:rsidRDefault="00500B4F" w:rsidP="00205384">
      <w:pPr>
        <w:tabs>
          <w:tab w:val="left" w:pos="4595"/>
        </w:tabs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33EB" w:rsidRDefault="008233EB" w:rsidP="005F71F5">
      <w:pPr>
        <w:tabs>
          <w:tab w:val="left" w:pos="9498"/>
        </w:tabs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71F5">
        <w:rPr>
          <w:rFonts w:ascii="Times New Roman" w:hAnsi="Times New Roman"/>
          <w:color w:val="auto"/>
          <w:sz w:val="28"/>
          <w:szCs w:val="28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bookmarkStart w:id="0" w:name="_GoBack"/>
      <w:bookmarkEnd w:id="0"/>
    </w:p>
    <w:sectPr w:rsidR="008233EB" w:rsidSect="000462C2">
      <w:headerReference w:type="default" r:id="rId7"/>
      <w:pgSz w:w="11907" w:h="16839" w:code="9"/>
      <w:pgMar w:top="1134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7E" w:rsidRDefault="0045697E">
      <w:pPr>
        <w:spacing w:after="0"/>
      </w:pPr>
      <w:r>
        <w:separator/>
      </w:r>
    </w:p>
  </w:endnote>
  <w:endnote w:type="continuationSeparator" w:id="0">
    <w:p w:rsidR="0045697E" w:rsidRDefault="00456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7E" w:rsidRDefault="0045697E">
      <w:pPr>
        <w:spacing w:after="0"/>
      </w:pPr>
      <w:r>
        <w:separator/>
      </w:r>
    </w:p>
  </w:footnote>
  <w:footnote w:type="continuationSeparator" w:id="0">
    <w:p w:rsidR="0045697E" w:rsidRDefault="00456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6A" w:rsidRDefault="00A95D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4455">
      <w:rPr>
        <w:noProof/>
      </w:rPr>
      <w:t>3</w:t>
    </w:r>
    <w:r>
      <w:fldChar w:fldCharType="end"/>
    </w:r>
  </w:p>
  <w:p w:rsidR="00AB27DC" w:rsidRDefault="00AB27DC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D60"/>
    <w:multiLevelType w:val="hybridMultilevel"/>
    <w:tmpl w:val="E9DE8D50"/>
    <w:lvl w:ilvl="0" w:tplc="1994CA0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4506"/>
    <w:multiLevelType w:val="hybridMultilevel"/>
    <w:tmpl w:val="A7DC51EE"/>
    <w:lvl w:ilvl="0" w:tplc="712072C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8E65DD"/>
    <w:multiLevelType w:val="hybridMultilevel"/>
    <w:tmpl w:val="5B44A8F2"/>
    <w:lvl w:ilvl="0" w:tplc="55900006">
      <w:start w:val="1"/>
      <w:numFmt w:val="decimal"/>
      <w:suff w:val="space"/>
      <w:lvlText w:val="%1)"/>
      <w:lvlJc w:val="left"/>
      <w:pPr>
        <w:ind w:left="987" w:hanging="4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A211430"/>
    <w:multiLevelType w:val="hybridMultilevel"/>
    <w:tmpl w:val="CB3693BA"/>
    <w:lvl w:ilvl="0" w:tplc="8D3807D4">
      <w:start w:val="1"/>
      <w:numFmt w:val="decimal"/>
      <w:suff w:val="space"/>
      <w:lvlText w:val="%1)"/>
      <w:lvlJc w:val="righ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286156"/>
    <w:multiLevelType w:val="hybridMultilevel"/>
    <w:tmpl w:val="BD3055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6314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034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7754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8474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9194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9914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10634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11354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2074" w:hanging="180"/>
      </w:pPr>
      <w:rPr>
        <w:rFonts w:cs="Times New Roman"/>
        <w:color w:val="000000"/>
      </w:rPr>
    </w:lvl>
  </w:abstractNum>
  <w:abstractNum w:abstractNumId="6" w15:restartNumberingAfterBreak="0">
    <w:nsid w:val="52856DE4"/>
    <w:multiLevelType w:val="hybridMultilevel"/>
    <w:tmpl w:val="015A4FBE"/>
    <w:lvl w:ilvl="0" w:tplc="96AE29D0">
      <w:start w:val="1"/>
      <w:numFmt w:val="decimal"/>
      <w:suff w:val="space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704431B9"/>
    <w:multiLevelType w:val="hybridMultilevel"/>
    <w:tmpl w:val="A6EA120C"/>
    <w:lvl w:ilvl="0" w:tplc="06F07C9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0B7582"/>
    <w:multiLevelType w:val="hybridMultilevel"/>
    <w:tmpl w:val="839EE14C"/>
    <w:lvl w:ilvl="0" w:tplc="712072C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C"/>
    <w:rsid w:val="00000235"/>
    <w:rsid w:val="00007BCF"/>
    <w:rsid w:val="00025180"/>
    <w:rsid w:val="00026FB6"/>
    <w:rsid w:val="000436CE"/>
    <w:rsid w:val="000462C2"/>
    <w:rsid w:val="00050301"/>
    <w:rsid w:val="00065608"/>
    <w:rsid w:val="00075B79"/>
    <w:rsid w:val="000868CF"/>
    <w:rsid w:val="000926BF"/>
    <w:rsid w:val="000A0228"/>
    <w:rsid w:val="000A0AC6"/>
    <w:rsid w:val="000B1551"/>
    <w:rsid w:val="000D2B10"/>
    <w:rsid w:val="000E5A0E"/>
    <w:rsid w:val="00101B86"/>
    <w:rsid w:val="0011243F"/>
    <w:rsid w:val="00120758"/>
    <w:rsid w:val="00124B80"/>
    <w:rsid w:val="00131D60"/>
    <w:rsid w:val="00153887"/>
    <w:rsid w:val="00153AF3"/>
    <w:rsid w:val="00162541"/>
    <w:rsid w:val="0016420A"/>
    <w:rsid w:val="001707B4"/>
    <w:rsid w:val="001747D1"/>
    <w:rsid w:val="00176247"/>
    <w:rsid w:val="00176E18"/>
    <w:rsid w:val="00180C07"/>
    <w:rsid w:val="001B59F9"/>
    <w:rsid w:val="001C4AF0"/>
    <w:rsid w:val="001D60DC"/>
    <w:rsid w:val="001E6750"/>
    <w:rsid w:val="001F3858"/>
    <w:rsid w:val="001F7F3B"/>
    <w:rsid w:val="00205384"/>
    <w:rsid w:val="00231D92"/>
    <w:rsid w:val="002342CE"/>
    <w:rsid w:val="00243C41"/>
    <w:rsid w:val="00250684"/>
    <w:rsid w:val="002A2F84"/>
    <w:rsid w:val="002B540D"/>
    <w:rsid w:val="002D3F98"/>
    <w:rsid w:val="002F03C0"/>
    <w:rsid w:val="003158A6"/>
    <w:rsid w:val="00347C4B"/>
    <w:rsid w:val="003611F4"/>
    <w:rsid w:val="00367D78"/>
    <w:rsid w:val="00375978"/>
    <w:rsid w:val="003975AE"/>
    <w:rsid w:val="003A0103"/>
    <w:rsid w:val="003A4541"/>
    <w:rsid w:val="003A79B5"/>
    <w:rsid w:val="003B12B3"/>
    <w:rsid w:val="003E3423"/>
    <w:rsid w:val="003F7D2E"/>
    <w:rsid w:val="004018F8"/>
    <w:rsid w:val="00407603"/>
    <w:rsid w:val="004106C2"/>
    <w:rsid w:val="00411AE4"/>
    <w:rsid w:val="00414550"/>
    <w:rsid w:val="004165A2"/>
    <w:rsid w:val="0042525A"/>
    <w:rsid w:val="0043502E"/>
    <w:rsid w:val="00443ACA"/>
    <w:rsid w:val="00443F66"/>
    <w:rsid w:val="00447675"/>
    <w:rsid w:val="004555D3"/>
    <w:rsid w:val="0045697E"/>
    <w:rsid w:val="004A6C1C"/>
    <w:rsid w:val="004B1829"/>
    <w:rsid w:val="004B6951"/>
    <w:rsid w:val="004C40DA"/>
    <w:rsid w:val="004F4727"/>
    <w:rsid w:val="00500B4F"/>
    <w:rsid w:val="00521765"/>
    <w:rsid w:val="005520A2"/>
    <w:rsid w:val="005522E6"/>
    <w:rsid w:val="005610B1"/>
    <w:rsid w:val="005854DA"/>
    <w:rsid w:val="005B60C3"/>
    <w:rsid w:val="005E4EB4"/>
    <w:rsid w:val="005F6069"/>
    <w:rsid w:val="005F71F5"/>
    <w:rsid w:val="00601C8F"/>
    <w:rsid w:val="0060765F"/>
    <w:rsid w:val="00622F40"/>
    <w:rsid w:val="00643133"/>
    <w:rsid w:val="006562FB"/>
    <w:rsid w:val="0066190D"/>
    <w:rsid w:val="00696C01"/>
    <w:rsid w:val="006A144F"/>
    <w:rsid w:val="006B56BC"/>
    <w:rsid w:val="006B7C81"/>
    <w:rsid w:val="006E022B"/>
    <w:rsid w:val="006F3ECF"/>
    <w:rsid w:val="007013F0"/>
    <w:rsid w:val="0071156C"/>
    <w:rsid w:val="00713392"/>
    <w:rsid w:val="00730507"/>
    <w:rsid w:val="007447F2"/>
    <w:rsid w:val="007742F5"/>
    <w:rsid w:val="00785B8A"/>
    <w:rsid w:val="007D1B69"/>
    <w:rsid w:val="007E13A3"/>
    <w:rsid w:val="007F22D5"/>
    <w:rsid w:val="007F3378"/>
    <w:rsid w:val="00800FC8"/>
    <w:rsid w:val="00803126"/>
    <w:rsid w:val="00806DF9"/>
    <w:rsid w:val="008233EB"/>
    <w:rsid w:val="00842B34"/>
    <w:rsid w:val="00846572"/>
    <w:rsid w:val="008641D4"/>
    <w:rsid w:val="00870ACF"/>
    <w:rsid w:val="00894B20"/>
    <w:rsid w:val="008B2072"/>
    <w:rsid w:val="008B7D0C"/>
    <w:rsid w:val="008E6758"/>
    <w:rsid w:val="00906676"/>
    <w:rsid w:val="00913E8B"/>
    <w:rsid w:val="0093730F"/>
    <w:rsid w:val="00951D19"/>
    <w:rsid w:val="00972372"/>
    <w:rsid w:val="00980EAA"/>
    <w:rsid w:val="009927B9"/>
    <w:rsid w:val="00993343"/>
    <w:rsid w:val="00994038"/>
    <w:rsid w:val="009A5AAB"/>
    <w:rsid w:val="009B0CB2"/>
    <w:rsid w:val="009D5B95"/>
    <w:rsid w:val="009D7C1E"/>
    <w:rsid w:val="009F4142"/>
    <w:rsid w:val="009F5664"/>
    <w:rsid w:val="00A05F30"/>
    <w:rsid w:val="00A07317"/>
    <w:rsid w:val="00A40A5B"/>
    <w:rsid w:val="00A423DA"/>
    <w:rsid w:val="00A53844"/>
    <w:rsid w:val="00A54455"/>
    <w:rsid w:val="00A57AA8"/>
    <w:rsid w:val="00A70432"/>
    <w:rsid w:val="00A7369E"/>
    <w:rsid w:val="00A95D6A"/>
    <w:rsid w:val="00AA59C6"/>
    <w:rsid w:val="00AB27DC"/>
    <w:rsid w:val="00AE39C3"/>
    <w:rsid w:val="00B046E5"/>
    <w:rsid w:val="00B059F7"/>
    <w:rsid w:val="00B13639"/>
    <w:rsid w:val="00B2480C"/>
    <w:rsid w:val="00B40D44"/>
    <w:rsid w:val="00B411C7"/>
    <w:rsid w:val="00B51D5E"/>
    <w:rsid w:val="00B52C59"/>
    <w:rsid w:val="00B60D23"/>
    <w:rsid w:val="00B61A37"/>
    <w:rsid w:val="00B6257D"/>
    <w:rsid w:val="00B66CC9"/>
    <w:rsid w:val="00B8171F"/>
    <w:rsid w:val="00B85141"/>
    <w:rsid w:val="00B96459"/>
    <w:rsid w:val="00BB02EF"/>
    <w:rsid w:val="00BB3CEF"/>
    <w:rsid w:val="00BB47FD"/>
    <w:rsid w:val="00BB5EC3"/>
    <w:rsid w:val="00BC3C14"/>
    <w:rsid w:val="00BD1EF3"/>
    <w:rsid w:val="00BE318E"/>
    <w:rsid w:val="00BF0B88"/>
    <w:rsid w:val="00BF5B91"/>
    <w:rsid w:val="00C15CAA"/>
    <w:rsid w:val="00C36BB2"/>
    <w:rsid w:val="00C41502"/>
    <w:rsid w:val="00C45F0C"/>
    <w:rsid w:val="00C74992"/>
    <w:rsid w:val="00CA1B2D"/>
    <w:rsid w:val="00CA1BFB"/>
    <w:rsid w:val="00CB250C"/>
    <w:rsid w:val="00CC401C"/>
    <w:rsid w:val="00CE6ECF"/>
    <w:rsid w:val="00CF44A2"/>
    <w:rsid w:val="00CF7C10"/>
    <w:rsid w:val="00D06835"/>
    <w:rsid w:val="00D06BDF"/>
    <w:rsid w:val="00D1770B"/>
    <w:rsid w:val="00D23154"/>
    <w:rsid w:val="00D353B3"/>
    <w:rsid w:val="00D53C1A"/>
    <w:rsid w:val="00D54A63"/>
    <w:rsid w:val="00D575C2"/>
    <w:rsid w:val="00D57C24"/>
    <w:rsid w:val="00D703A9"/>
    <w:rsid w:val="00D74E5B"/>
    <w:rsid w:val="00D92E22"/>
    <w:rsid w:val="00DA7C7C"/>
    <w:rsid w:val="00DB194D"/>
    <w:rsid w:val="00DB302D"/>
    <w:rsid w:val="00DC5465"/>
    <w:rsid w:val="00DE5292"/>
    <w:rsid w:val="00DE7EAB"/>
    <w:rsid w:val="00DF1821"/>
    <w:rsid w:val="00E27082"/>
    <w:rsid w:val="00E305FE"/>
    <w:rsid w:val="00E40979"/>
    <w:rsid w:val="00E410DB"/>
    <w:rsid w:val="00E42A93"/>
    <w:rsid w:val="00E732A0"/>
    <w:rsid w:val="00E75AE8"/>
    <w:rsid w:val="00E80263"/>
    <w:rsid w:val="00E901A9"/>
    <w:rsid w:val="00E9151E"/>
    <w:rsid w:val="00E92E4A"/>
    <w:rsid w:val="00EA50FB"/>
    <w:rsid w:val="00EA773D"/>
    <w:rsid w:val="00EC13A0"/>
    <w:rsid w:val="00ED3670"/>
    <w:rsid w:val="00EE2974"/>
    <w:rsid w:val="00F2376E"/>
    <w:rsid w:val="00F23904"/>
    <w:rsid w:val="00F3738A"/>
    <w:rsid w:val="00F510B6"/>
    <w:rsid w:val="00F52567"/>
    <w:rsid w:val="00F53DD6"/>
    <w:rsid w:val="00F55082"/>
    <w:rsid w:val="00F6086F"/>
    <w:rsid w:val="00F76AC2"/>
    <w:rsid w:val="00FC57C7"/>
    <w:rsid w:val="00FE7B07"/>
    <w:rsid w:val="00FF2B9F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D70FD9-EB7C-4B0E-9D90-32CA8CE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AB27DC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30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302D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"/>
    <w:basedOn w:val="a"/>
    <w:link w:val="ac"/>
    <w:uiPriority w:val="34"/>
    <w:qFormat/>
    <w:rsid w:val="00180C07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c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b"/>
    <w:uiPriority w:val="34"/>
    <w:locked/>
    <w:rsid w:val="00180C07"/>
    <w:rPr>
      <w:sz w:val="24"/>
    </w:rPr>
  </w:style>
  <w:style w:type="paragraph" w:customStyle="1" w:styleId="2">
    <w:name w:val="Без интервала2"/>
    <w:basedOn w:val="a"/>
    <w:qFormat/>
    <w:rsid w:val="005520A2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character" w:customStyle="1" w:styleId="completedescription">
    <w:name w:val="completedescription"/>
    <w:basedOn w:val="a0"/>
    <w:rsid w:val="008233EB"/>
    <w:rPr>
      <w:rFonts w:cs="Times New Roman"/>
    </w:rPr>
  </w:style>
  <w:style w:type="paragraph" w:customStyle="1" w:styleId="TableContents">
    <w:name w:val="Table Contents"/>
    <w:basedOn w:val="a"/>
    <w:rsid w:val="00870ACF"/>
    <w:pPr>
      <w:suppressLineNumbers/>
      <w:suppressAutoHyphens/>
      <w:autoSpaceDE/>
      <w:adjustRightInd/>
      <w:spacing w:after="0"/>
    </w:pPr>
    <w:rPr>
      <w:rFonts w:ascii="Arial" w:eastAsia="SimSun" w:hAnsi="Arial" w:cs="Mangal"/>
      <w:color w:val="auto"/>
      <w:kern w:val="3"/>
      <w:sz w:val="24"/>
      <w:szCs w:val="24"/>
      <w:lang w:eastAsia="zh-CN" w:bidi="hi-IN"/>
    </w:rPr>
  </w:style>
  <w:style w:type="character" w:customStyle="1" w:styleId="cardmaininfocontent">
    <w:name w:val="cardmaininfo__content"/>
    <w:basedOn w:val="a0"/>
    <w:rsid w:val="00BF5B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Аслаханов Дени Олегович</dc:creator>
  <cp:keywords/>
  <dc:description/>
  <cp:lastModifiedBy>Аслаханов Дени Олегович</cp:lastModifiedBy>
  <cp:revision>53</cp:revision>
  <cp:lastPrinted>2021-02-15T06:12:00Z</cp:lastPrinted>
  <dcterms:created xsi:type="dcterms:W3CDTF">2020-12-21T07:12:00Z</dcterms:created>
  <dcterms:modified xsi:type="dcterms:W3CDTF">2021-02-15T15:02:00Z</dcterms:modified>
</cp:coreProperties>
</file>