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2127"/>
        <w:gridCol w:w="2268"/>
        <w:gridCol w:w="283"/>
        <w:gridCol w:w="5387"/>
      </w:tblGrid>
      <w:tr w:rsidR="00ED187B" w:rsidRPr="00397949" w:rsidTr="00E656D7">
        <w:tc>
          <w:tcPr>
            <w:tcW w:w="2127" w:type="dxa"/>
          </w:tcPr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Pr="004228AC" w:rsidRDefault="00ED187B" w:rsidP="00E656D7">
            <w:pPr>
              <w:rPr>
                <w:b/>
              </w:rPr>
            </w:pPr>
          </w:p>
          <w:p w:rsidR="00ED187B" w:rsidRPr="00A6255A" w:rsidRDefault="00ED187B" w:rsidP="00E656D7">
            <w:pPr>
              <w:ind w:firstLine="743"/>
              <w:rPr>
                <w:sz w:val="20"/>
              </w:rPr>
            </w:pPr>
          </w:p>
        </w:tc>
        <w:tc>
          <w:tcPr>
            <w:tcW w:w="2268" w:type="dxa"/>
          </w:tcPr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Pr="00C456BA" w:rsidRDefault="00ED187B" w:rsidP="00E656D7"/>
          <w:p w:rsidR="00ED187B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>
            <w:pPr>
              <w:rPr>
                <w:sz w:val="20"/>
              </w:rPr>
            </w:pPr>
          </w:p>
          <w:p w:rsidR="00ED187B" w:rsidRPr="00C456BA" w:rsidRDefault="00ED187B" w:rsidP="00E656D7"/>
          <w:p w:rsidR="00ED187B" w:rsidRPr="00A6255A" w:rsidRDefault="00ED187B" w:rsidP="00E656D7">
            <w:pPr>
              <w:ind w:firstLine="600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  <w:p w:rsidR="00ED187B" w:rsidRPr="007C1B05" w:rsidRDefault="00ED187B" w:rsidP="00E656D7"/>
        </w:tc>
        <w:tc>
          <w:tcPr>
            <w:tcW w:w="5387" w:type="dxa"/>
            <w:vMerge w:val="restart"/>
          </w:tcPr>
          <w:p w:rsidR="00ED187B" w:rsidRPr="0051298C" w:rsidRDefault="00ED187B" w:rsidP="00ED187B">
            <w:pPr>
              <w:pStyle w:val="a8"/>
              <w:rPr>
                <w:sz w:val="26"/>
                <w:szCs w:val="26"/>
              </w:rPr>
            </w:pPr>
            <w:r w:rsidRPr="0051298C">
              <w:rPr>
                <w:sz w:val="26"/>
                <w:szCs w:val="26"/>
              </w:rPr>
              <w:t>ООО «Центр матери и ребенка»</w:t>
            </w:r>
          </w:p>
          <w:p w:rsidR="00ED187B" w:rsidRPr="0051298C" w:rsidRDefault="00ED187B" w:rsidP="00ED187B">
            <w:pPr>
              <w:pStyle w:val="a8"/>
              <w:rPr>
                <w:sz w:val="26"/>
                <w:szCs w:val="26"/>
              </w:rPr>
            </w:pPr>
            <w:r w:rsidRPr="0051298C">
              <w:rPr>
                <w:sz w:val="26"/>
                <w:szCs w:val="26"/>
              </w:rPr>
              <w:t xml:space="preserve">392020, г. Тамбов, ул. </w:t>
            </w:r>
            <w:proofErr w:type="gramStart"/>
            <w:r w:rsidRPr="0051298C">
              <w:rPr>
                <w:sz w:val="26"/>
                <w:szCs w:val="26"/>
              </w:rPr>
              <w:t>Рязанская</w:t>
            </w:r>
            <w:proofErr w:type="gramEnd"/>
            <w:r w:rsidRPr="0051298C">
              <w:rPr>
                <w:sz w:val="26"/>
                <w:szCs w:val="26"/>
              </w:rPr>
              <w:t>, д.28</w:t>
            </w:r>
          </w:p>
          <w:p w:rsidR="00ED187B" w:rsidRPr="0051298C" w:rsidRDefault="00ED187B" w:rsidP="00ED187B">
            <w:pPr>
              <w:pStyle w:val="a8"/>
              <w:rPr>
                <w:sz w:val="26"/>
                <w:szCs w:val="26"/>
              </w:rPr>
            </w:pPr>
            <w:r w:rsidRPr="0051298C">
              <w:rPr>
                <w:sz w:val="26"/>
                <w:szCs w:val="26"/>
              </w:rPr>
              <w:t xml:space="preserve">392029, г. Тамбов, ул. </w:t>
            </w:r>
            <w:proofErr w:type="gramStart"/>
            <w:r w:rsidRPr="0051298C">
              <w:rPr>
                <w:sz w:val="26"/>
                <w:szCs w:val="26"/>
              </w:rPr>
              <w:t>Бастионная</w:t>
            </w:r>
            <w:proofErr w:type="gramEnd"/>
            <w:r w:rsidRPr="0051298C">
              <w:rPr>
                <w:sz w:val="26"/>
                <w:szCs w:val="26"/>
              </w:rPr>
              <w:t>, 7А</w:t>
            </w:r>
          </w:p>
          <w:p w:rsidR="00ED187B" w:rsidRPr="0051298C" w:rsidRDefault="00ED187B" w:rsidP="00ED187B">
            <w:pPr>
              <w:pStyle w:val="a8"/>
              <w:rPr>
                <w:color w:val="000000" w:themeColor="text1"/>
                <w:sz w:val="26"/>
                <w:szCs w:val="26"/>
              </w:rPr>
            </w:pPr>
            <w:r w:rsidRPr="0051298C">
              <w:rPr>
                <w:sz w:val="26"/>
                <w:szCs w:val="26"/>
              </w:rPr>
              <w:t>cmr-tambov@yandex.ru</w:t>
            </w:r>
          </w:p>
          <w:p w:rsidR="00ED187B" w:rsidRPr="001165BE" w:rsidRDefault="00ED187B" w:rsidP="00E656D7">
            <w:pPr>
              <w:rPr>
                <w:sz w:val="26"/>
                <w:szCs w:val="26"/>
              </w:rPr>
            </w:pPr>
          </w:p>
        </w:tc>
      </w:tr>
      <w:tr w:rsidR="00ED187B" w:rsidRPr="00397949" w:rsidTr="00E656D7">
        <w:tc>
          <w:tcPr>
            <w:tcW w:w="2127" w:type="dxa"/>
          </w:tcPr>
          <w:p w:rsidR="00ED187B" w:rsidRPr="00397949" w:rsidRDefault="00ED187B" w:rsidP="00E656D7"/>
          <w:p w:rsidR="00ED187B" w:rsidRPr="00397949" w:rsidRDefault="00ED187B" w:rsidP="00E656D7"/>
        </w:tc>
        <w:tc>
          <w:tcPr>
            <w:tcW w:w="2268" w:type="dxa"/>
          </w:tcPr>
          <w:p w:rsidR="00ED187B" w:rsidRPr="00397949" w:rsidRDefault="00ED187B" w:rsidP="00E656D7"/>
        </w:tc>
        <w:tc>
          <w:tcPr>
            <w:tcW w:w="283" w:type="dxa"/>
          </w:tcPr>
          <w:p w:rsidR="00ED187B" w:rsidRPr="00397949" w:rsidRDefault="00ED187B" w:rsidP="00E656D7"/>
        </w:tc>
        <w:tc>
          <w:tcPr>
            <w:tcW w:w="5387" w:type="dxa"/>
            <w:vMerge/>
          </w:tcPr>
          <w:p w:rsidR="00ED187B" w:rsidRPr="001165BE" w:rsidRDefault="00ED187B" w:rsidP="00E656D7">
            <w:pPr>
              <w:rPr>
                <w:sz w:val="26"/>
                <w:szCs w:val="26"/>
              </w:rPr>
            </w:pPr>
          </w:p>
        </w:tc>
      </w:tr>
    </w:tbl>
    <w:p w:rsidR="00ED187B" w:rsidRPr="00397949" w:rsidRDefault="00ED187B" w:rsidP="00ED187B">
      <w:pPr>
        <w:rPr>
          <w:vanish/>
        </w:rPr>
      </w:pPr>
    </w:p>
    <w:tbl>
      <w:tblPr>
        <w:tblpPr w:leftFromText="180" w:rightFromText="180" w:vertAnchor="page" w:horzAnchor="margin" w:tblpY="6212"/>
        <w:tblOverlap w:val="never"/>
        <w:tblW w:w="9572" w:type="dxa"/>
        <w:tblLook w:val="04A0"/>
      </w:tblPr>
      <w:tblGrid>
        <w:gridCol w:w="4644"/>
        <w:gridCol w:w="4928"/>
      </w:tblGrid>
      <w:tr w:rsidR="00ED187B" w:rsidRPr="00397949" w:rsidTr="00E656D7">
        <w:trPr>
          <w:trHeight w:val="291"/>
        </w:trPr>
        <w:tc>
          <w:tcPr>
            <w:tcW w:w="9572" w:type="dxa"/>
            <w:gridSpan w:val="2"/>
          </w:tcPr>
          <w:p w:rsidR="00ED187B" w:rsidRPr="00397949" w:rsidRDefault="00ED187B" w:rsidP="00E656D7">
            <w:pPr>
              <w:ind w:firstLine="318"/>
            </w:pPr>
          </w:p>
        </w:tc>
      </w:tr>
      <w:tr w:rsidR="00ED187B" w:rsidRPr="008A5539" w:rsidTr="00E656D7">
        <w:tc>
          <w:tcPr>
            <w:tcW w:w="9572" w:type="dxa"/>
            <w:gridSpan w:val="2"/>
          </w:tcPr>
          <w:p w:rsidR="00ED187B" w:rsidRPr="001F4B87" w:rsidRDefault="00ED187B" w:rsidP="00E656D7">
            <w:pPr>
              <w:ind w:left="-142" w:right="-142"/>
              <w:jc w:val="center"/>
              <w:rPr>
                <w:b/>
                <w:sz w:val="26"/>
                <w:szCs w:val="26"/>
              </w:rPr>
            </w:pPr>
            <w:proofErr w:type="gramStart"/>
            <w:r w:rsidRPr="001F4B87">
              <w:rPr>
                <w:b/>
                <w:sz w:val="26"/>
                <w:szCs w:val="26"/>
              </w:rPr>
              <w:t>Р</w:t>
            </w:r>
            <w:proofErr w:type="gramEnd"/>
            <w:r w:rsidRPr="001F4B87">
              <w:rPr>
                <w:b/>
                <w:sz w:val="26"/>
                <w:szCs w:val="26"/>
              </w:rPr>
              <w:t xml:space="preserve"> Е Ш Е Н И Е</w:t>
            </w:r>
          </w:p>
          <w:p w:rsidR="00ED187B" w:rsidRPr="00347352" w:rsidRDefault="00ED187B" w:rsidP="0005096A">
            <w:pPr>
              <w:tabs>
                <w:tab w:val="center" w:pos="4678"/>
                <w:tab w:val="left" w:pos="7140"/>
              </w:tabs>
              <w:ind w:left="-142" w:right="-142"/>
              <w:rPr>
                <w:sz w:val="26"/>
                <w:szCs w:val="26"/>
              </w:rPr>
            </w:pPr>
            <w:r w:rsidRPr="001F4B87">
              <w:rPr>
                <w:b/>
                <w:sz w:val="26"/>
                <w:szCs w:val="26"/>
              </w:rPr>
              <w:tab/>
              <w:t xml:space="preserve">о возвращении жалобы №  </w:t>
            </w:r>
            <w:r w:rsidR="0005096A" w:rsidRPr="0005096A">
              <w:rPr>
                <w:b/>
              </w:rPr>
              <w:t>068/06/64-75/2021</w:t>
            </w:r>
          </w:p>
        </w:tc>
      </w:tr>
      <w:tr w:rsidR="00ED187B" w:rsidRPr="008A5539" w:rsidTr="00E656D7">
        <w:tc>
          <w:tcPr>
            <w:tcW w:w="4644" w:type="dxa"/>
          </w:tcPr>
          <w:p w:rsidR="00ED187B" w:rsidRPr="00243ABA" w:rsidRDefault="00ED187B" w:rsidP="00E656D7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D187B" w:rsidRPr="008A5539" w:rsidRDefault="00ED187B" w:rsidP="00E656D7">
            <w:pPr>
              <w:rPr>
                <w:sz w:val="26"/>
                <w:szCs w:val="26"/>
              </w:rPr>
            </w:pPr>
          </w:p>
        </w:tc>
      </w:tr>
      <w:tr w:rsidR="00ED187B" w:rsidRPr="008A5539" w:rsidTr="00E656D7">
        <w:tc>
          <w:tcPr>
            <w:tcW w:w="4644" w:type="dxa"/>
          </w:tcPr>
          <w:p w:rsidR="00ED187B" w:rsidRPr="00243ABA" w:rsidRDefault="00ED187B" w:rsidP="00E656D7">
            <w:pPr>
              <w:rPr>
                <w:sz w:val="26"/>
                <w:szCs w:val="26"/>
              </w:rPr>
            </w:pPr>
            <w:r w:rsidRPr="00243ABA">
              <w:rPr>
                <w:sz w:val="26"/>
                <w:szCs w:val="26"/>
              </w:rPr>
              <w:t>«</w:t>
            </w:r>
            <w:r w:rsidR="0005096A">
              <w:rPr>
                <w:sz w:val="26"/>
                <w:szCs w:val="26"/>
              </w:rPr>
              <w:t>12» февраля 2021</w:t>
            </w:r>
            <w:r w:rsidRPr="00243AB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8" w:type="dxa"/>
          </w:tcPr>
          <w:p w:rsidR="00ED187B" w:rsidRPr="008A5539" w:rsidRDefault="00ED187B" w:rsidP="00E656D7">
            <w:pPr>
              <w:jc w:val="right"/>
              <w:rPr>
                <w:sz w:val="26"/>
                <w:szCs w:val="26"/>
              </w:rPr>
            </w:pPr>
            <w:r w:rsidRPr="008A553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A5539">
              <w:rPr>
                <w:sz w:val="26"/>
                <w:szCs w:val="26"/>
              </w:rPr>
              <w:t>Тамбов</w:t>
            </w:r>
          </w:p>
        </w:tc>
      </w:tr>
      <w:tr w:rsidR="00ED187B" w:rsidRPr="008A5539" w:rsidTr="00E656D7">
        <w:tc>
          <w:tcPr>
            <w:tcW w:w="4644" w:type="dxa"/>
          </w:tcPr>
          <w:p w:rsidR="00ED187B" w:rsidRPr="008A5539" w:rsidRDefault="00ED187B" w:rsidP="00E656D7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D187B" w:rsidRPr="008A5539" w:rsidRDefault="00ED187B" w:rsidP="00E656D7">
            <w:pPr>
              <w:rPr>
                <w:sz w:val="26"/>
                <w:szCs w:val="26"/>
              </w:rPr>
            </w:pPr>
          </w:p>
        </w:tc>
      </w:tr>
    </w:tbl>
    <w:p w:rsidR="00ED187B" w:rsidRDefault="00ED187B" w:rsidP="00ED187B">
      <w:pPr>
        <w:pStyle w:val="a3"/>
      </w:pPr>
      <w:r w:rsidRPr="008A5539">
        <w:t>Тамбовское УФАС России в соответствии с требованием пункта 3.1</w:t>
      </w:r>
      <w:r w:rsidRPr="0016241F">
        <w:t>.1</w:t>
      </w:r>
      <w:r w:rsidRPr="008A5539">
        <w:t xml:space="preserve"> Административного регламента </w:t>
      </w:r>
      <w:r w:rsidRPr="0016241F">
        <w:t xml:space="preserve">Федеральной антимонопольной службы по исполнению государственной функции по рассмотрению жалоб на действия </w:t>
      </w:r>
      <w:r w:rsidRPr="007E4DCD">
        <w:t xml:space="preserve">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(утв. </w:t>
      </w:r>
      <w:hyperlink w:anchor="sub_0" w:history="1">
        <w:r w:rsidRPr="007E4DCD">
          <w:t>приказом</w:t>
        </w:r>
      </w:hyperlink>
      <w:r w:rsidRPr="007E4DCD">
        <w:t xml:space="preserve"> Федеральной антимонопольной службы от 19.11.2014 N 727/14) (далее – Регламент), </w:t>
      </w:r>
    </w:p>
    <w:p w:rsidR="009A73CB" w:rsidRDefault="00ED187B" w:rsidP="009A73CB">
      <w:pPr>
        <w:pStyle w:val="a3"/>
      </w:pPr>
      <w:r w:rsidRPr="007E4DCD">
        <w:t xml:space="preserve">проверив жалобу </w:t>
      </w:r>
      <w:r w:rsidRPr="007E4DCD">
        <w:rPr>
          <w:iCs/>
        </w:rPr>
        <w:t>общества с ограниченной ответственностью</w:t>
      </w:r>
      <w:r w:rsidR="0005096A">
        <w:t xml:space="preserve"> </w:t>
      </w:r>
      <w:r w:rsidRPr="007E4DCD">
        <w:t>«</w:t>
      </w:r>
      <w:r w:rsidR="0005096A" w:rsidRPr="0051298C">
        <w:t>Центр матери и ребенка</w:t>
      </w:r>
      <w:r w:rsidRPr="007E4DCD">
        <w:t>» (далее – З</w:t>
      </w:r>
      <w:r w:rsidR="0005096A">
        <w:t>аявитель) (</w:t>
      </w:r>
      <w:proofErr w:type="spellStart"/>
      <w:r w:rsidR="0005096A">
        <w:t>вх</w:t>
      </w:r>
      <w:proofErr w:type="spellEnd"/>
      <w:r w:rsidR="0005096A">
        <w:t>. 10.02.2021 № 758</w:t>
      </w:r>
      <w:r w:rsidRPr="007E4DCD">
        <w:t>) на действия заказчика –</w:t>
      </w:r>
      <w:r w:rsidRPr="00BE3811">
        <w:rPr>
          <w:lang w:eastAsia="ru-RU"/>
        </w:rPr>
        <w:t xml:space="preserve"> </w:t>
      </w:r>
      <w:r w:rsidR="0005096A">
        <w:rPr>
          <w:lang w:eastAsia="ru-RU"/>
        </w:rPr>
        <w:t>ТОГБУЗ</w:t>
      </w:r>
      <w:r>
        <w:rPr>
          <w:lang w:eastAsia="ru-RU"/>
        </w:rPr>
        <w:t xml:space="preserve"> </w:t>
      </w:r>
      <w:r w:rsidR="0005096A">
        <w:t>«</w:t>
      </w:r>
      <w:r w:rsidR="0005096A" w:rsidRPr="00D90CB8">
        <w:t xml:space="preserve">Городская детская поликлиника </w:t>
      </w:r>
      <w:r w:rsidR="0005096A">
        <w:t>имени Валерия Коваля г</w:t>
      </w:r>
      <w:proofErr w:type="gramStart"/>
      <w:r w:rsidR="0005096A">
        <w:t>.Т</w:t>
      </w:r>
      <w:proofErr w:type="gramEnd"/>
      <w:r w:rsidR="0005096A">
        <w:t xml:space="preserve">амбова» </w:t>
      </w:r>
      <w:r w:rsidRPr="007E4DCD">
        <w:t xml:space="preserve">при проведении электронного аукциона № </w:t>
      </w:r>
      <w:r w:rsidR="0005096A">
        <w:t>0864500000221000128</w:t>
      </w:r>
      <w:r>
        <w:t xml:space="preserve"> на </w:t>
      </w:r>
      <w:r w:rsidR="009A73CB">
        <w:rPr>
          <w:noProof/>
        </w:rPr>
        <w:t>оказание услуги</w:t>
      </w:r>
      <w:r w:rsidR="009A73CB">
        <w:t xml:space="preserve"> по отпуску специализированного питания согласно Постановлению администрации Тамбовской области от 13.05.2015 № 460 «Об утверждении порядка обеспечения полноценным питанием беременных женщин, кормящих матерей, а так же детей до 3-х лет при наличии медицинских показаний по заключению врачей» </w:t>
      </w:r>
      <w:r w:rsidRPr="007E4DCD">
        <w:t>на соответствие требованиям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установило следующее.</w:t>
      </w:r>
    </w:p>
    <w:p w:rsidR="009A73CB" w:rsidRDefault="00ED187B" w:rsidP="009A73CB">
      <w:pPr>
        <w:pStyle w:val="a3"/>
      </w:pPr>
      <w:proofErr w:type="gramStart"/>
      <w:r w:rsidRPr="009A73CB">
        <w:t xml:space="preserve">В соответствии с частью 1 статьи 105 Закона о контрактной системе </w:t>
      </w:r>
      <w:r w:rsidR="009A73CB" w:rsidRPr="009A73CB">
        <w:rPr>
          <w:rFonts w:eastAsiaTheme="minorHAnsi"/>
          <w:lang w:eastAsia="en-US"/>
        </w:rPr>
        <w:t xml:space="preserve">любой участник закупки в соответствии с законодательством Российской Федерации </w:t>
      </w:r>
      <w:r w:rsidR="009A73CB" w:rsidRPr="009A73CB">
        <w:rPr>
          <w:rFonts w:eastAsiaTheme="minorHAnsi"/>
          <w:lang w:eastAsia="en-US"/>
        </w:rPr>
        <w:lastRenderedPageBreak/>
        <w:t>имеет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</w:t>
      </w:r>
      <w:proofErr w:type="gramEnd"/>
      <w:r w:rsidR="009A73CB" w:rsidRPr="009A73CB">
        <w:rPr>
          <w:rFonts w:eastAsiaTheme="minorHAnsi"/>
          <w:lang w:eastAsia="en-US"/>
        </w:rPr>
        <w:t xml:space="preserve">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закупки.</w:t>
      </w:r>
    </w:p>
    <w:p w:rsidR="00ED187B" w:rsidRPr="00D024E7" w:rsidRDefault="00ED187B" w:rsidP="00ED187B">
      <w:pPr>
        <w:pStyle w:val="a3"/>
      </w:pPr>
      <w:r w:rsidRPr="00D024E7">
        <w:t xml:space="preserve">В соответствии с частью 7 статьи 105 Закона о контрактной системе </w:t>
      </w:r>
      <w:r w:rsidR="009A73CB">
        <w:rPr>
          <w:lang w:eastAsia="ru-RU"/>
        </w:rPr>
        <w:t>у</w:t>
      </w:r>
      <w:r w:rsidRPr="00D024E7">
        <w:rPr>
          <w:lang w:eastAsia="ru-RU"/>
        </w:rPr>
        <w:t>частник закупки подает жалобу в письменной форме.</w:t>
      </w:r>
    </w:p>
    <w:p w:rsidR="00ED187B" w:rsidRPr="00D024E7" w:rsidRDefault="00ED187B" w:rsidP="00ED187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024E7">
        <w:rPr>
          <w:rFonts w:eastAsia="Calibri"/>
          <w:sz w:val="26"/>
          <w:szCs w:val="26"/>
        </w:rPr>
        <w:t xml:space="preserve">Жалоба подписывается подающим ее лицом или его представителем (часть 10 статьи 105 Закона). </w:t>
      </w:r>
    </w:p>
    <w:p w:rsidR="00ED187B" w:rsidRPr="00D024E7" w:rsidRDefault="00ED187B" w:rsidP="00ED187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024E7">
        <w:rPr>
          <w:rFonts w:eastAsia="Calibri"/>
          <w:sz w:val="26"/>
          <w:szCs w:val="26"/>
        </w:rPr>
        <w:t>В соответствии с частью 1 статьи 6 Федерального закона от 06 апреля 2011</w:t>
      </w:r>
      <w:r>
        <w:rPr>
          <w:rFonts w:eastAsia="Calibri"/>
          <w:sz w:val="26"/>
          <w:szCs w:val="26"/>
        </w:rPr>
        <w:t xml:space="preserve"> года </w:t>
      </w:r>
      <w:r w:rsidRPr="00D024E7">
        <w:rPr>
          <w:rFonts w:eastAsia="Calibri"/>
          <w:sz w:val="26"/>
          <w:szCs w:val="26"/>
        </w:rPr>
        <w:t>№ 63-ФЗ «Об электронной подписи» (далее – Закон об электронной подписи)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</w:t>
      </w:r>
      <w:proofErr w:type="gramEnd"/>
      <w:r w:rsidRPr="00D024E7">
        <w:rPr>
          <w:rFonts w:eastAsia="Calibri"/>
          <w:sz w:val="26"/>
          <w:szCs w:val="26"/>
        </w:rPr>
        <w:t xml:space="preserve"> составления документа исключительно на бумажном носителе.</w:t>
      </w:r>
    </w:p>
    <w:p w:rsidR="00ED187B" w:rsidRPr="00D024E7" w:rsidRDefault="009A73CB" w:rsidP="00ED187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Тамбовское УФАС России 10.02.2021</w:t>
      </w:r>
      <w:r w:rsidR="00ED187B">
        <w:rPr>
          <w:rFonts w:eastAsia="Calibri"/>
          <w:sz w:val="26"/>
          <w:szCs w:val="26"/>
        </w:rPr>
        <w:t xml:space="preserve"> подана</w:t>
      </w:r>
      <w:r w:rsidR="00ED187B" w:rsidRPr="00D024E7">
        <w:rPr>
          <w:rFonts w:eastAsia="Calibri"/>
          <w:sz w:val="26"/>
          <w:szCs w:val="26"/>
        </w:rPr>
        <w:t xml:space="preserve"> </w:t>
      </w:r>
      <w:r w:rsidR="00ED187B">
        <w:rPr>
          <w:rFonts w:eastAsia="Calibri"/>
          <w:sz w:val="26"/>
          <w:szCs w:val="26"/>
        </w:rPr>
        <w:t>ж</w:t>
      </w:r>
      <w:r w:rsidR="00ED187B" w:rsidRPr="00D024E7">
        <w:rPr>
          <w:rFonts w:eastAsia="Calibri"/>
          <w:sz w:val="26"/>
          <w:szCs w:val="26"/>
        </w:rPr>
        <w:t>алоба</w:t>
      </w:r>
      <w:r w:rsidR="00ED187B">
        <w:rPr>
          <w:rFonts w:eastAsia="Calibri"/>
          <w:sz w:val="26"/>
          <w:szCs w:val="26"/>
        </w:rPr>
        <w:t xml:space="preserve"> </w:t>
      </w:r>
      <w:r w:rsidR="00ED187B">
        <w:rPr>
          <w:sz w:val="26"/>
          <w:szCs w:val="26"/>
        </w:rPr>
        <w:t>общества с ограниченной ответственностью «</w:t>
      </w:r>
      <w:r w:rsidRPr="0051298C">
        <w:rPr>
          <w:sz w:val="26"/>
          <w:szCs w:val="26"/>
        </w:rPr>
        <w:t>Центр матери и ребенка</w:t>
      </w:r>
      <w:r w:rsidR="00ED187B">
        <w:rPr>
          <w:sz w:val="26"/>
          <w:szCs w:val="26"/>
        </w:rPr>
        <w:t>»</w:t>
      </w:r>
      <w:r w:rsidR="00ED187B">
        <w:rPr>
          <w:rFonts w:eastAsia="Calibri"/>
          <w:sz w:val="26"/>
          <w:szCs w:val="26"/>
        </w:rPr>
        <w:t xml:space="preserve">, которая </w:t>
      </w:r>
      <w:r w:rsidR="00ED187B" w:rsidRPr="00D024E7">
        <w:rPr>
          <w:rFonts w:eastAsia="Calibri"/>
          <w:sz w:val="26"/>
          <w:szCs w:val="26"/>
        </w:rPr>
        <w:t>не содержит электронную подпись.</w:t>
      </w:r>
    </w:p>
    <w:p w:rsidR="00ED187B" w:rsidRPr="00D024E7" w:rsidRDefault="00ED187B" w:rsidP="00ED1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4E7">
        <w:rPr>
          <w:rFonts w:ascii="Times New Roman" w:hAnsi="Times New Roman" w:cs="Times New Roman"/>
          <w:sz w:val="26"/>
          <w:szCs w:val="26"/>
        </w:rPr>
        <w:t>Согласно пункту  2 части 11 статьи 105 Закона жалоба возвращается подавшему ее лицу без рассмотрения в случае, если  жалоба не подписана.</w:t>
      </w:r>
    </w:p>
    <w:p w:rsidR="00ED187B" w:rsidRPr="00D024E7" w:rsidRDefault="00ED187B" w:rsidP="00ED187B">
      <w:pPr>
        <w:ind w:firstLine="709"/>
        <w:jc w:val="both"/>
        <w:rPr>
          <w:sz w:val="26"/>
          <w:szCs w:val="26"/>
        </w:rPr>
      </w:pPr>
      <w:r w:rsidRPr="00D024E7">
        <w:rPr>
          <w:sz w:val="26"/>
          <w:szCs w:val="26"/>
        </w:rPr>
        <w:t xml:space="preserve">Таким образом, жалоба </w:t>
      </w:r>
      <w:r>
        <w:rPr>
          <w:sz w:val="26"/>
          <w:szCs w:val="26"/>
        </w:rPr>
        <w:t>общества с ограниченной ответственностью «</w:t>
      </w:r>
      <w:r w:rsidR="009A73CB" w:rsidRPr="0051298C">
        <w:rPr>
          <w:sz w:val="26"/>
          <w:szCs w:val="26"/>
        </w:rPr>
        <w:t>Центр матери и ребенка</w:t>
      </w:r>
      <w:r>
        <w:rPr>
          <w:sz w:val="26"/>
          <w:szCs w:val="26"/>
        </w:rPr>
        <w:t xml:space="preserve">» подана </w:t>
      </w:r>
      <w:r w:rsidRPr="00D024E7">
        <w:rPr>
          <w:sz w:val="26"/>
          <w:szCs w:val="26"/>
        </w:rPr>
        <w:t>с нарушением требований Закона, на основании пункта 2 части 11 статьи 105 Закона о контрактной системе</w:t>
      </w:r>
      <w:r>
        <w:rPr>
          <w:sz w:val="26"/>
          <w:szCs w:val="26"/>
        </w:rPr>
        <w:t xml:space="preserve"> она</w:t>
      </w:r>
      <w:r w:rsidRPr="00D024E7">
        <w:rPr>
          <w:sz w:val="26"/>
          <w:szCs w:val="26"/>
        </w:rPr>
        <w:t xml:space="preserve"> подлежит возвращению без рассмотрения.</w:t>
      </w:r>
    </w:p>
    <w:p w:rsidR="00ED187B" w:rsidRDefault="00ED187B" w:rsidP="00ED187B">
      <w:pPr>
        <w:pStyle w:val="a3"/>
      </w:pPr>
    </w:p>
    <w:p w:rsidR="00ED187B" w:rsidRDefault="00ED187B" w:rsidP="00ED187B">
      <w:pPr>
        <w:pStyle w:val="a3"/>
      </w:pPr>
    </w:p>
    <w:p w:rsidR="00ED187B" w:rsidRDefault="00ED187B" w:rsidP="00ED187B">
      <w:pPr>
        <w:pStyle w:val="a3"/>
      </w:pPr>
    </w:p>
    <w:p w:rsidR="00ED187B" w:rsidRPr="00F72B32" w:rsidRDefault="00ED187B" w:rsidP="00ED187B">
      <w:pPr>
        <w:pStyle w:val="a3"/>
      </w:pPr>
    </w:p>
    <w:tbl>
      <w:tblPr>
        <w:tblW w:w="0" w:type="auto"/>
        <w:tblLook w:val="04A0"/>
      </w:tblPr>
      <w:tblGrid>
        <w:gridCol w:w="4785"/>
        <w:gridCol w:w="4786"/>
      </w:tblGrid>
      <w:tr w:rsidR="00ED187B" w:rsidRPr="008A5539" w:rsidTr="00E656D7">
        <w:tc>
          <w:tcPr>
            <w:tcW w:w="4785" w:type="dxa"/>
          </w:tcPr>
          <w:p w:rsidR="00ED187B" w:rsidRPr="008A5539" w:rsidRDefault="00ED187B" w:rsidP="00E65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</w:t>
            </w:r>
          </w:p>
        </w:tc>
        <w:tc>
          <w:tcPr>
            <w:tcW w:w="4786" w:type="dxa"/>
          </w:tcPr>
          <w:p w:rsidR="00ED187B" w:rsidRPr="008A5539" w:rsidRDefault="00ED187B" w:rsidP="00E656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Гречишникова</w:t>
            </w:r>
            <w:proofErr w:type="spellEnd"/>
          </w:p>
        </w:tc>
      </w:tr>
    </w:tbl>
    <w:p w:rsidR="00ED187B" w:rsidRPr="008A5539" w:rsidRDefault="00ED187B" w:rsidP="00ED187B">
      <w:pPr>
        <w:rPr>
          <w:sz w:val="26"/>
          <w:szCs w:val="26"/>
        </w:rPr>
      </w:pPr>
    </w:p>
    <w:p w:rsidR="00ED187B" w:rsidRDefault="00ED187B" w:rsidP="00ED187B"/>
    <w:p w:rsidR="00ED187B" w:rsidRPr="00AC59FE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Default="00ED187B" w:rsidP="00ED187B">
      <w:pPr>
        <w:rPr>
          <w:sz w:val="20"/>
        </w:rPr>
      </w:pPr>
    </w:p>
    <w:p w:rsidR="00ED187B" w:rsidRPr="008B4D07" w:rsidRDefault="00ED187B" w:rsidP="00ED187B">
      <w:pPr>
        <w:rPr>
          <w:sz w:val="22"/>
          <w:szCs w:val="22"/>
        </w:rPr>
      </w:pPr>
      <w:r w:rsidRPr="008B4D07"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Агаурова</w:t>
      </w:r>
      <w:proofErr w:type="spellEnd"/>
      <w:r>
        <w:rPr>
          <w:sz w:val="22"/>
          <w:szCs w:val="22"/>
        </w:rPr>
        <w:t xml:space="preserve"> А.Э.</w:t>
      </w:r>
      <w:r w:rsidRPr="008B4D07">
        <w:rPr>
          <w:sz w:val="22"/>
          <w:szCs w:val="22"/>
        </w:rPr>
        <w:t>8 (4752) 72-73-44</w:t>
      </w:r>
    </w:p>
    <w:p w:rsidR="00ED187B" w:rsidRDefault="00ED187B" w:rsidP="00ED187B"/>
    <w:p w:rsidR="00ED187B" w:rsidRPr="00790259" w:rsidRDefault="00ED187B" w:rsidP="00ED187B">
      <w:pPr>
        <w:pStyle w:val="a3"/>
      </w:pPr>
    </w:p>
    <w:p w:rsidR="00ED187B" w:rsidRDefault="00ED187B" w:rsidP="00ED187B"/>
    <w:p w:rsidR="00ED187B" w:rsidRDefault="00ED187B" w:rsidP="00ED187B">
      <w:pPr>
        <w:pStyle w:val="a3"/>
        <w:rPr>
          <w:rFonts w:eastAsiaTheme="minorHAnsi"/>
          <w:lang w:eastAsia="en-US"/>
        </w:rPr>
      </w:pPr>
    </w:p>
    <w:p w:rsidR="003A49EA" w:rsidRDefault="003A49EA"/>
    <w:sectPr w:rsidR="003A49EA" w:rsidSect="00D35DE5">
      <w:footerReference w:type="default" r:id="rId6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B4" w:rsidRDefault="007938B4" w:rsidP="00F224EB">
      <w:r>
        <w:separator/>
      </w:r>
    </w:p>
  </w:endnote>
  <w:endnote w:type="continuationSeparator" w:id="0">
    <w:p w:rsidR="007938B4" w:rsidRDefault="007938B4" w:rsidP="00F2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E5" w:rsidRPr="00D35DE5" w:rsidRDefault="00F224EB">
    <w:pPr>
      <w:pStyle w:val="a5"/>
      <w:jc w:val="center"/>
      <w:rPr>
        <w:sz w:val="20"/>
      </w:rPr>
    </w:pPr>
    <w:r w:rsidRPr="00D35DE5">
      <w:rPr>
        <w:sz w:val="20"/>
      </w:rPr>
      <w:fldChar w:fldCharType="begin"/>
    </w:r>
    <w:r w:rsidR="009A73CB" w:rsidRPr="00D35DE5">
      <w:rPr>
        <w:sz w:val="20"/>
      </w:rPr>
      <w:instrText xml:space="preserve"> PAGE   \* MERGEFORMAT </w:instrText>
    </w:r>
    <w:r w:rsidRPr="00D35DE5">
      <w:rPr>
        <w:sz w:val="20"/>
      </w:rPr>
      <w:fldChar w:fldCharType="separate"/>
    </w:r>
    <w:r w:rsidR="0035743B">
      <w:rPr>
        <w:noProof/>
        <w:sz w:val="20"/>
      </w:rPr>
      <w:t>2</w:t>
    </w:r>
    <w:r w:rsidRPr="00D35DE5">
      <w:rPr>
        <w:sz w:val="20"/>
      </w:rPr>
      <w:fldChar w:fldCharType="end"/>
    </w:r>
  </w:p>
  <w:p w:rsidR="00D35DE5" w:rsidRDefault="00793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B4" w:rsidRDefault="007938B4" w:rsidP="00F224EB">
      <w:r>
        <w:separator/>
      </w:r>
    </w:p>
  </w:footnote>
  <w:footnote w:type="continuationSeparator" w:id="0">
    <w:p w:rsidR="007938B4" w:rsidRDefault="007938B4" w:rsidP="00F22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7B"/>
    <w:rsid w:val="0005096A"/>
    <w:rsid w:val="00336024"/>
    <w:rsid w:val="0035743B"/>
    <w:rsid w:val="003A49EA"/>
    <w:rsid w:val="0051298C"/>
    <w:rsid w:val="007938B4"/>
    <w:rsid w:val="009A73CB"/>
    <w:rsid w:val="00ED187B"/>
    <w:rsid w:val="00F2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ED187B"/>
    <w:pPr>
      <w:suppressAutoHyphens w:val="0"/>
      <w:ind w:firstLine="709"/>
      <w:jc w:val="both"/>
    </w:pPr>
    <w:rPr>
      <w:sz w:val="26"/>
      <w:szCs w:val="26"/>
    </w:rPr>
  </w:style>
  <w:style w:type="character" w:customStyle="1" w:styleId="a4">
    <w:name w:val="АСТАНДАРТ Знак"/>
    <w:link w:val="a3"/>
    <w:rsid w:val="00ED187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rsid w:val="00ED1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ED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D187B"/>
    <w:rPr>
      <w:color w:val="0000FF"/>
      <w:u w:val="single"/>
    </w:rPr>
  </w:style>
  <w:style w:type="paragraph" w:styleId="a8">
    <w:name w:val="No Spacing"/>
    <w:link w:val="a9"/>
    <w:uiPriority w:val="1"/>
    <w:qFormat/>
    <w:rsid w:val="00E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D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3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3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Агаурова</dc:creator>
  <cp:lastModifiedBy>Агаурова </cp:lastModifiedBy>
  <cp:revision>2</cp:revision>
  <cp:lastPrinted>2021-02-11T12:51:00Z</cp:lastPrinted>
  <dcterms:created xsi:type="dcterms:W3CDTF">2021-02-11T12:16:00Z</dcterms:created>
  <dcterms:modified xsi:type="dcterms:W3CDTF">2021-02-12T05:47:00Z</dcterms:modified>
</cp:coreProperties>
</file>