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5" w:rsidRPr="00E05844" w:rsidRDefault="00BF3D55" w:rsidP="0016424F">
      <w:pPr>
        <w:widowControl w:val="0"/>
        <w:rPr>
          <w:b/>
        </w:rPr>
      </w:pPr>
    </w:p>
    <w:p w:rsidR="00803253" w:rsidRPr="00E05844" w:rsidRDefault="00803253" w:rsidP="0016424F">
      <w:pPr>
        <w:widowControl w:val="0"/>
        <w:rPr>
          <w:b/>
        </w:rPr>
      </w:pPr>
    </w:p>
    <w:p w:rsidR="00DC2F77" w:rsidRPr="00E05844" w:rsidRDefault="00DC2F77" w:rsidP="001649F8">
      <w:pPr>
        <w:widowControl w:val="0"/>
        <w:ind w:firstLine="374"/>
        <w:jc w:val="center"/>
        <w:rPr>
          <w:b/>
        </w:rPr>
      </w:pPr>
    </w:p>
    <w:p w:rsidR="001F76F6" w:rsidRPr="00E05844" w:rsidRDefault="001F76F6" w:rsidP="001649F8">
      <w:pPr>
        <w:widowControl w:val="0"/>
        <w:ind w:firstLine="374"/>
        <w:jc w:val="center"/>
        <w:rPr>
          <w:b/>
        </w:rPr>
      </w:pPr>
      <w:r w:rsidRPr="00E05844">
        <w:rPr>
          <w:b/>
        </w:rPr>
        <w:t>РЕШЕНИЕ №</w:t>
      </w:r>
      <w:r w:rsidR="003F14DB" w:rsidRPr="00E05844">
        <w:rPr>
          <w:b/>
        </w:rPr>
        <w:t xml:space="preserve"> </w:t>
      </w:r>
      <w:r w:rsidR="0078240C" w:rsidRPr="00E05844">
        <w:rPr>
          <w:b/>
        </w:rPr>
        <w:t>054/06/33-207/2021</w:t>
      </w:r>
    </w:p>
    <w:p w:rsidR="00284930" w:rsidRPr="00E05844" w:rsidRDefault="00284930" w:rsidP="001649F8">
      <w:pPr>
        <w:widowControl w:val="0"/>
        <w:ind w:firstLine="374"/>
        <w:jc w:val="center"/>
        <w:rPr>
          <w:b/>
        </w:rPr>
      </w:pPr>
    </w:p>
    <w:p w:rsidR="001F76F6" w:rsidRPr="00E05844" w:rsidRDefault="00B1557F" w:rsidP="001649F8">
      <w:pPr>
        <w:jc w:val="both"/>
      </w:pPr>
      <w:r w:rsidRPr="00E05844">
        <w:t>09</w:t>
      </w:r>
      <w:r w:rsidR="002927B0" w:rsidRPr="00E05844">
        <w:t xml:space="preserve"> </w:t>
      </w:r>
      <w:r w:rsidRPr="00E05844">
        <w:t>февраля</w:t>
      </w:r>
      <w:r w:rsidR="00D156A3" w:rsidRPr="00E05844">
        <w:t xml:space="preserve"> </w:t>
      </w:r>
      <w:r w:rsidR="007917B0" w:rsidRPr="00E05844">
        <w:t>2021</w:t>
      </w:r>
      <w:r w:rsidR="00D156A3" w:rsidRPr="00E05844">
        <w:t xml:space="preserve"> года</w:t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  <w:t xml:space="preserve">        </w:t>
      </w:r>
      <w:r w:rsidRPr="00E05844">
        <w:t xml:space="preserve"> </w:t>
      </w:r>
      <w:r w:rsidR="00082CC1" w:rsidRPr="00E05844">
        <w:t xml:space="preserve">  </w:t>
      </w:r>
      <w:r w:rsidR="001F76F6" w:rsidRPr="00E05844">
        <w:t>г. Новосибирск</w:t>
      </w:r>
    </w:p>
    <w:p w:rsidR="001F76F6" w:rsidRPr="00E05844" w:rsidRDefault="001F76F6" w:rsidP="001649F8">
      <w:pPr>
        <w:tabs>
          <w:tab w:val="left" w:pos="1290"/>
        </w:tabs>
        <w:jc w:val="both"/>
      </w:pPr>
    </w:p>
    <w:p w:rsidR="00FC1666" w:rsidRPr="00E05844" w:rsidRDefault="001F76F6" w:rsidP="001649F8">
      <w:pPr>
        <w:ind w:firstLine="567"/>
        <w:jc w:val="both"/>
      </w:pPr>
      <w:r w:rsidRPr="00E05844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E05844">
        <w:t>закупок</w:t>
      </w:r>
      <w:r w:rsidRPr="00E05844">
        <w:t xml:space="preserve"> (Комиссия Новосибирского УФАС России)</w:t>
      </w:r>
      <w:r w:rsidR="00FC1666" w:rsidRPr="00E05844">
        <w:t xml:space="preserve">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EC4AFE" w:rsidRPr="00E05844" w:rsidTr="001E3334">
        <w:trPr>
          <w:trHeight w:val="195"/>
        </w:trPr>
        <w:tc>
          <w:tcPr>
            <w:tcW w:w="2313" w:type="dxa"/>
            <w:shd w:val="clear" w:color="auto" w:fill="auto"/>
          </w:tcPr>
          <w:p w:rsidR="00EC4AFE" w:rsidRPr="00E05844" w:rsidRDefault="009F1FDC" w:rsidP="001649F8">
            <w:pPr>
              <w:jc w:val="both"/>
            </w:pPr>
            <w:r w:rsidRPr="00E05844">
              <w:t>Швалов А.Г.</w:t>
            </w:r>
          </w:p>
        </w:tc>
        <w:tc>
          <w:tcPr>
            <w:tcW w:w="7860" w:type="dxa"/>
            <w:shd w:val="clear" w:color="auto" w:fill="auto"/>
          </w:tcPr>
          <w:p w:rsidR="00EC4AFE" w:rsidRPr="00E05844" w:rsidRDefault="00EC4AFE" w:rsidP="001E3334">
            <w:pPr>
              <w:jc w:val="both"/>
            </w:pPr>
            <w:r w:rsidRPr="00E05844">
              <w:t>-</w:t>
            </w:r>
            <w:r w:rsidR="00B10B05" w:rsidRPr="00E05844">
              <w:t xml:space="preserve"> </w:t>
            </w:r>
            <w:r w:rsidR="00EE39DD" w:rsidRPr="00E05844">
              <w:t>з</w:t>
            </w:r>
            <w:r w:rsidR="00675294" w:rsidRPr="00E05844">
              <w:t>ам.</w:t>
            </w:r>
            <w:r w:rsidR="00B10B05" w:rsidRPr="00E05844">
              <w:t xml:space="preserve"> руководителя управления,</w:t>
            </w:r>
            <w:r w:rsidRPr="00E05844">
              <w:t xml:space="preserve"> председатель Комиссии;</w:t>
            </w:r>
          </w:p>
        </w:tc>
      </w:tr>
      <w:tr w:rsidR="007B7E25" w:rsidRPr="00E05844" w:rsidTr="001E3334">
        <w:trPr>
          <w:trHeight w:val="198"/>
        </w:trPr>
        <w:tc>
          <w:tcPr>
            <w:tcW w:w="2313" w:type="dxa"/>
            <w:shd w:val="clear" w:color="auto" w:fill="auto"/>
          </w:tcPr>
          <w:p w:rsidR="007B7E25" w:rsidRPr="00E05844" w:rsidRDefault="00B1557F" w:rsidP="004F78A2">
            <w:pPr>
              <w:jc w:val="both"/>
            </w:pPr>
            <w:r w:rsidRPr="00E05844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7B7E25" w:rsidRPr="00E05844" w:rsidRDefault="007B7E25" w:rsidP="006955A4">
            <w:pPr>
              <w:jc w:val="both"/>
            </w:pPr>
            <w:r w:rsidRPr="00E05844">
              <w:t xml:space="preserve">- </w:t>
            </w:r>
            <w:r w:rsidR="00B1557F" w:rsidRPr="00E05844">
              <w:t xml:space="preserve">ведущий </w:t>
            </w:r>
            <w:r w:rsidRPr="00E05844">
              <w:t>специалист-эксперт отдела контроля закупок, член Комиссии;</w:t>
            </w:r>
          </w:p>
        </w:tc>
      </w:tr>
      <w:tr w:rsidR="00A776AC" w:rsidRPr="00E05844" w:rsidTr="001649F8">
        <w:tc>
          <w:tcPr>
            <w:tcW w:w="2313" w:type="dxa"/>
            <w:shd w:val="clear" w:color="auto" w:fill="auto"/>
          </w:tcPr>
          <w:p w:rsidR="00A776AC" w:rsidRPr="00E05844" w:rsidRDefault="002E3CC5" w:rsidP="004F78A2">
            <w:r w:rsidRPr="00E05844">
              <w:t>Алышова А.Е.</w:t>
            </w:r>
          </w:p>
        </w:tc>
        <w:tc>
          <w:tcPr>
            <w:tcW w:w="7860" w:type="dxa"/>
            <w:shd w:val="clear" w:color="auto" w:fill="auto"/>
          </w:tcPr>
          <w:p w:rsidR="00A776AC" w:rsidRPr="00E05844" w:rsidRDefault="00A776AC" w:rsidP="001E3334">
            <w:r w:rsidRPr="00E05844">
              <w:t>-</w:t>
            </w:r>
            <w:r w:rsidR="004D6D6E" w:rsidRPr="00E05844">
              <w:t xml:space="preserve"> </w:t>
            </w:r>
            <w:r w:rsidR="002E3CC5" w:rsidRPr="00E05844">
              <w:t xml:space="preserve">ведущий </w:t>
            </w:r>
            <w:r w:rsidR="001E3334" w:rsidRPr="00E05844">
              <w:t>специалист-эксперт</w:t>
            </w:r>
            <w:r w:rsidRPr="00E05844">
              <w:t xml:space="preserve"> отдела контроля закупок, член Комиссии,</w:t>
            </w:r>
          </w:p>
        </w:tc>
      </w:tr>
    </w:tbl>
    <w:p w:rsidR="00B1557F" w:rsidRPr="00E05844" w:rsidRDefault="00B1557F" w:rsidP="007917B0">
      <w:pPr>
        <w:ind w:firstLine="567"/>
        <w:jc w:val="both"/>
      </w:pPr>
      <w:r w:rsidRPr="00E05844">
        <w:t>в присутствии представителей:</w:t>
      </w:r>
    </w:p>
    <w:p w:rsidR="00B1557F" w:rsidRPr="00E05844" w:rsidRDefault="00B1557F" w:rsidP="00B1557F">
      <w:pPr>
        <w:ind w:firstLine="567"/>
        <w:jc w:val="both"/>
      </w:pPr>
      <w:r w:rsidRPr="00E05844">
        <w:rPr>
          <w:b/>
          <w:i/>
        </w:rPr>
        <w:t xml:space="preserve">от подателя жалобы – </w:t>
      </w:r>
      <w:r w:rsidRPr="00E05844">
        <w:t xml:space="preserve">ООО «ЮТИМ»: </w:t>
      </w:r>
      <w:r w:rsidR="00862A24">
        <w:t>…</w:t>
      </w:r>
      <w:r w:rsidRPr="00E05844">
        <w:t xml:space="preserve"> (</w:t>
      </w:r>
      <w:r w:rsidR="00D943E6" w:rsidRPr="00E05844">
        <w:t>по доверенности</w:t>
      </w:r>
      <w:r w:rsidRPr="00E05844">
        <w:t>),</w:t>
      </w:r>
    </w:p>
    <w:p w:rsidR="007917B0" w:rsidRPr="00E05844" w:rsidRDefault="00B1557F" w:rsidP="007917B0">
      <w:pPr>
        <w:ind w:firstLine="567"/>
        <w:jc w:val="both"/>
      </w:pPr>
      <w:r w:rsidRPr="00E05844">
        <w:t>в отсутствие представителей:</w:t>
      </w:r>
    </w:p>
    <w:p w:rsidR="00C40C09" w:rsidRPr="00E05844" w:rsidRDefault="007917B0" w:rsidP="007917B0">
      <w:pPr>
        <w:ind w:firstLine="567"/>
        <w:jc w:val="both"/>
      </w:pPr>
      <w:r w:rsidRPr="00E05844">
        <w:rPr>
          <w:b/>
          <w:i/>
        </w:rPr>
        <w:t xml:space="preserve">от заказчика </w:t>
      </w:r>
      <w:r w:rsidRPr="00E05844">
        <w:t xml:space="preserve">– </w:t>
      </w:r>
      <w:r w:rsidR="00D943E6" w:rsidRPr="00E05844">
        <w:t>ГБУЗ НСО «Краснозерская ЦРБ»</w:t>
      </w:r>
      <w:r w:rsidRPr="00E05844">
        <w:t xml:space="preserve"> </w:t>
      </w:r>
      <w:r w:rsidR="00B1557F" w:rsidRPr="00E05844">
        <w:t>(уведомлено надлежащим образом</w:t>
      </w:r>
      <w:r w:rsidR="00092DBC" w:rsidRPr="00E05844">
        <w:t>)</w:t>
      </w:r>
      <w:r w:rsidR="00B1557F" w:rsidRPr="00E05844">
        <w:t>,</w:t>
      </w:r>
    </w:p>
    <w:p w:rsidR="007D03A5" w:rsidRPr="00E05844" w:rsidRDefault="000D3DC2" w:rsidP="00751543">
      <w:pPr>
        <w:ind w:firstLine="567"/>
        <w:jc w:val="both"/>
      </w:pPr>
      <w:r w:rsidRPr="00E05844">
        <w:t xml:space="preserve">рассмотрев </w:t>
      </w:r>
      <w:r w:rsidR="00D75A11" w:rsidRPr="00E05844">
        <w:t xml:space="preserve">в дистанционном режиме </w:t>
      </w:r>
      <w:r w:rsidRPr="00E05844">
        <w:t>жалоб</w:t>
      </w:r>
      <w:r w:rsidR="00664DDC" w:rsidRPr="00E05844">
        <w:t>у</w:t>
      </w:r>
      <w:r w:rsidR="0023346E" w:rsidRPr="00E05844">
        <w:t xml:space="preserve"> </w:t>
      </w:r>
      <w:r w:rsidR="006955A4" w:rsidRPr="00E05844">
        <w:t>ООО «</w:t>
      </w:r>
      <w:r w:rsidR="00D943E6" w:rsidRPr="00E05844">
        <w:t>ЮТИМ</w:t>
      </w:r>
      <w:r w:rsidR="006955A4" w:rsidRPr="00E05844">
        <w:t>»</w:t>
      </w:r>
      <w:r w:rsidR="00E63E4C" w:rsidRPr="00E05844">
        <w:t xml:space="preserve"> на действия </w:t>
      </w:r>
      <w:r w:rsidR="007D34EE" w:rsidRPr="00E05844">
        <w:t>заказчика - ГБУЗ НСО «Краснозерская ЦРБ» при проведении электронного аукциона № 0351300000621000009 на поставку реагентов диагности</w:t>
      </w:r>
      <w:r w:rsidR="007B4865" w:rsidRPr="00E05844">
        <w:t xml:space="preserve">ческих-иммунохроматографических </w:t>
      </w:r>
      <w:r w:rsidR="007D34EE" w:rsidRPr="00E05844">
        <w:t>для определения наркотических веществ</w:t>
      </w:r>
      <w:r w:rsidR="002927B0" w:rsidRPr="00E05844">
        <w:t>,</w:t>
      </w:r>
      <w:r w:rsidR="007B4415" w:rsidRPr="00E05844">
        <w:t xml:space="preserve"> </w:t>
      </w:r>
      <w:r w:rsidR="0054758E" w:rsidRPr="00E05844">
        <w:t xml:space="preserve">начальная (максимальная) </w:t>
      </w:r>
      <w:r w:rsidR="0003779D" w:rsidRPr="00E05844">
        <w:t xml:space="preserve">цена контракта </w:t>
      </w:r>
      <w:r w:rsidR="007D34EE" w:rsidRPr="00E05844">
        <w:rPr>
          <w:color w:val="000000" w:themeColor="text1"/>
          <w:shd w:val="clear" w:color="auto" w:fill="FFFFFF"/>
        </w:rPr>
        <w:t>205 450</w:t>
      </w:r>
      <w:r w:rsidR="006955A4" w:rsidRPr="00E05844">
        <w:rPr>
          <w:color w:val="000000" w:themeColor="text1"/>
        </w:rPr>
        <w:t xml:space="preserve"> </w:t>
      </w:r>
      <w:r w:rsidR="0054758E" w:rsidRPr="00E05844">
        <w:rPr>
          <w:color w:val="000000" w:themeColor="text1"/>
        </w:rPr>
        <w:t>руб</w:t>
      </w:r>
      <w:r w:rsidR="0054758E" w:rsidRPr="00E05844">
        <w:t xml:space="preserve">. </w:t>
      </w:r>
      <w:r w:rsidR="00E63E4C" w:rsidRPr="00E05844">
        <w:t>00</w:t>
      </w:r>
      <w:r w:rsidR="00A44033" w:rsidRPr="00E05844">
        <w:t xml:space="preserve"> </w:t>
      </w:r>
      <w:r w:rsidR="007539A9" w:rsidRPr="00E05844">
        <w:t>коп</w:t>
      </w:r>
      <w:r w:rsidR="00751543" w:rsidRPr="00E05844">
        <w:t>.,</w:t>
      </w:r>
    </w:p>
    <w:p w:rsidR="002F7C78" w:rsidRPr="00E05844" w:rsidRDefault="002F7C78" w:rsidP="00751543">
      <w:pPr>
        <w:ind w:firstLine="567"/>
        <w:jc w:val="both"/>
        <w:rPr>
          <w:shd w:val="clear" w:color="auto" w:fill="FFFFFF"/>
        </w:rPr>
      </w:pPr>
    </w:p>
    <w:p w:rsidR="0066550F" w:rsidRPr="00E05844" w:rsidRDefault="005D7BCB" w:rsidP="001649F8">
      <w:pPr>
        <w:ind w:firstLine="426"/>
        <w:jc w:val="center"/>
        <w:rPr>
          <w:b/>
        </w:rPr>
      </w:pPr>
      <w:r w:rsidRPr="00E05844">
        <w:rPr>
          <w:b/>
        </w:rPr>
        <w:t>УСТАНОВИЛА:</w:t>
      </w:r>
    </w:p>
    <w:p w:rsidR="007D03A5" w:rsidRPr="00E05844" w:rsidRDefault="007D03A5" w:rsidP="001649F8">
      <w:pPr>
        <w:ind w:firstLine="426"/>
        <w:jc w:val="center"/>
        <w:rPr>
          <w:b/>
        </w:rPr>
      </w:pPr>
    </w:p>
    <w:p w:rsidR="007B4415" w:rsidRPr="00E05844" w:rsidRDefault="003E4264" w:rsidP="00D72625">
      <w:pPr>
        <w:ind w:firstLine="567"/>
        <w:jc w:val="both"/>
      </w:pPr>
      <w:r w:rsidRPr="00E05844">
        <w:t>В Ново</w:t>
      </w:r>
      <w:r w:rsidR="002E44F7" w:rsidRPr="00E05844">
        <w:t>сибирское</w:t>
      </w:r>
      <w:r w:rsidR="009F1FDC" w:rsidRPr="00E05844">
        <w:t xml:space="preserve"> УФАС России обратил</w:t>
      </w:r>
      <w:r w:rsidR="006955A4" w:rsidRPr="00E05844">
        <w:t>ось</w:t>
      </w:r>
      <w:r w:rsidR="002B495D" w:rsidRPr="00E05844">
        <w:t xml:space="preserve"> </w:t>
      </w:r>
      <w:r w:rsidR="006955A4" w:rsidRPr="00E05844">
        <w:t>ООО «</w:t>
      </w:r>
      <w:r w:rsidR="00B1557F" w:rsidRPr="00E05844">
        <w:t>ЮТИМ</w:t>
      </w:r>
      <w:r w:rsidR="006955A4" w:rsidRPr="00E05844">
        <w:t>»</w:t>
      </w:r>
      <w:r w:rsidR="00D75A11" w:rsidRPr="00E05844">
        <w:t xml:space="preserve"> с жалобой</w:t>
      </w:r>
      <w:r w:rsidR="00BB693B" w:rsidRPr="00E05844">
        <w:t xml:space="preserve"> на действия </w:t>
      </w:r>
      <w:r w:rsidR="007D34EE" w:rsidRPr="00E05844">
        <w:t>заказчика - ГБУЗ НСО «Краснозерская ЦРБ» при проведении электронного аукциона № 0351300000621000009 на поставку реагентов диагностических-иммунохроматографических для определения наркотических веществ</w:t>
      </w:r>
      <w:r w:rsidR="000C7869" w:rsidRPr="00E05844">
        <w:t>.</w:t>
      </w:r>
    </w:p>
    <w:p w:rsidR="00DC2F77" w:rsidRPr="00E05844" w:rsidRDefault="00DC2F77" w:rsidP="00DC2F77">
      <w:pPr>
        <w:ind w:firstLine="567"/>
        <w:jc w:val="both"/>
        <w:rPr>
          <w:b/>
          <w:i/>
        </w:rPr>
      </w:pPr>
      <w:r w:rsidRPr="00E05844">
        <w:rPr>
          <w:b/>
          <w:i/>
        </w:rPr>
        <w:t>Суть жалобы ООО «ЮТИМ» заключается в следующем.</w:t>
      </w:r>
    </w:p>
    <w:p w:rsidR="00F05D34" w:rsidRPr="00E05844" w:rsidRDefault="00F05D34" w:rsidP="00DC2F77">
      <w:pPr>
        <w:ind w:firstLine="567"/>
        <w:jc w:val="both"/>
      </w:pPr>
      <w:r w:rsidRPr="00E05844">
        <w:t xml:space="preserve">Согласно </w:t>
      </w:r>
      <w:r w:rsidR="00254E7A" w:rsidRPr="00E05844">
        <w:t xml:space="preserve">п. 2 </w:t>
      </w:r>
      <w:r w:rsidRPr="00E05844">
        <w:t>описани</w:t>
      </w:r>
      <w:r w:rsidR="00254E7A" w:rsidRPr="00E05844">
        <w:t>я</w:t>
      </w:r>
      <w:r w:rsidRPr="00E05844">
        <w:t xml:space="preserve"> объекта закупки</w:t>
      </w:r>
      <w:r w:rsidR="00254E7A" w:rsidRPr="00E05844">
        <w:t xml:space="preserve"> к поставке</w:t>
      </w:r>
      <w:r w:rsidR="000864A2" w:rsidRPr="00E05844">
        <w:t xml:space="preserve"> необходим</w:t>
      </w:r>
      <w:r w:rsidR="00254E7A" w:rsidRPr="00E05844">
        <w:t>, в том числе, набор реагентов со следующими характери</w:t>
      </w:r>
      <w:r w:rsidR="00A95CC1" w:rsidRPr="00E05844">
        <w:t>с</w:t>
      </w:r>
      <w:r w:rsidR="00254E7A" w:rsidRPr="00E05844">
        <w:t>тиками:</w:t>
      </w:r>
    </w:p>
    <w:p w:rsidR="00A95CC1" w:rsidRPr="00E05844" w:rsidRDefault="00A95CC1" w:rsidP="00DC2F77">
      <w:pPr>
        <w:ind w:firstLine="567"/>
        <w:jc w:val="both"/>
      </w:pPr>
    </w:p>
    <w:tbl>
      <w:tblPr>
        <w:tblW w:w="10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658"/>
        <w:gridCol w:w="738"/>
        <w:gridCol w:w="1388"/>
        <w:gridCol w:w="2581"/>
      </w:tblGrid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b/>
                <w:sz w:val="20"/>
                <w:szCs w:val="20"/>
              </w:rPr>
              <w:t>Множественные наркотики ИВД, набор, иммунохроматографический анализ, экспресс-анализ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КТРУ: 21.20.23.110-00001017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Набор реагентов и других связанных с ними материалов, предназначенный для качественного и/или полуколичественного определения множества наркотиков (drugsofabuse) в клиническом образце в течение короткого периода, по сравнению со стандартными процедурами лабораторных испытаний, с использованием метода иммунохроматографического анализа. Этот тест обычно используется для лабораторных анализов или исследований по месту лечения.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наличие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Дополнительные параметры: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 xml:space="preserve">Минимально определяемая концентрация для синтетических аналогов каннабиноидов 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нг/мл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3330BC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 xml:space="preserve">не </w:t>
            </w:r>
            <w:r w:rsidR="00A95CC1" w:rsidRPr="00E05844">
              <w:rPr>
                <w:sz w:val="20"/>
                <w:szCs w:val="20"/>
              </w:rPr>
              <w:t>более 5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Необходимо для количественного определения концентрации вещества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Каждая упаковка содержит магнитный чип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наличие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Необходим для взаимодействия с используемым заказчиком анализатором для химико-токсикологических исследований IK 200609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2.2.3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Количество тестов в наборе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шт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не менее 50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 xml:space="preserve">Технологически </w:t>
            </w:r>
            <w:r w:rsidRPr="00E05844">
              <w:rPr>
                <w:sz w:val="20"/>
                <w:szCs w:val="20"/>
              </w:rPr>
              <w:lastRenderedPageBreak/>
              <w:t>обусловленное оптимальное количество тестов для обеспечения полного цикла работы анализатора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E05844">
              <w:rPr>
                <w:sz w:val="20"/>
                <w:szCs w:val="20"/>
                <w:lang w:val="en-US"/>
              </w:rPr>
              <w:t>IK</w:t>
            </w:r>
            <w:r w:rsidRPr="00E05844">
              <w:rPr>
                <w:sz w:val="20"/>
                <w:szCs w:val="20"/>
              </w:rPr>
              <w:t xml:space="preserve"> 200609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наличие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Необходима для взаимодействия с используемым заказчиком анализатором для химико-токсикологических исследований IK 200609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2.2.5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Условия хранения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AC23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C233F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о</w:t>
            </w:r>
            <w:r w:rsidR="00A95CC1" w:rsidRPr="00E05844">
              <w:rPr>
                <w:sz w:val="20"/>
                <w:szCs w:val="20"/>
              </w:rPr>
              <w:t>т 0 до -30</w:t>
            </w:r>
            <w:r w:rsidR="00A95CC1" w:rsidRPr="00E05844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Для соблюдения надежных результатов в течение всего срока годности</w:t>
            </w:r>
          </w:p>
        </w:tc>
      </w:tr>
      <w:tr w:rsidR="00A95CC1" w:rsidRPr="00E05844" w:rsidTr="001A6113">
        <w:trPr>
          <w:trHeight w:val="3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95CC1" w:rsidP="0009669C">
            <w:pPr>
              <w:jc w:val="center"/>
              <w:rPr>
                <w:bCs/>
                <w:sz w:val="20"/>
                <w:szCs w:val="20"/>
              </w:rPr>
            </w:pPr>
            <w:r w:rsidRPr="00E05844">
              <w:rPr>
                <w:bCs/>
                <w:sz w:val="20"/>
                <w:szCs w:val="20"/>
              </w:rPr>
              <w:t>2.2.6</w:t>
            </w:r>
          </w:p>
        </w:tc>
        <w:tc>
          <w:tcPr>
            <w:tcW w:w="46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5CC1" w:rsidRPr="00E05844" w:rsidRDefault="00A95CC1" w:rsidP="00096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C233F" w:rsidP="00AC23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м</w:t>
            </w:r>
            <w:r w:rsidR="00A95CC1" w:rsidRPr="00E05844">
              <w:rPr>
                <w:sz w:val="20"/>
                <w:szCs w:val="20"/>
              </w:rPr>
              <w:t>ес.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CC1" w:rsidRPr="00E05844" w:rsidRDefault="00AC233F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E05844">
              <w:rPr>
                <w:sz w:val="20"/>
                <w:szCs w:val="20"/>
              </w:rPr>
              <w:t>н</w:t>
            </w:r>
            <w:r w:rsidR="00A95CC1" w:rsidRPr="00E05844">
              <w:rPr>
                <w:sz w:val="20"/>
                <w:szCs w:val="20"/>
              </w:rPr>
              <w:t>е менее 12</w:t>
            </w:r>
          </w:p>
        </w:tc>
        <w:tc>
          <w:tcPr>
            <w:tcW w:w="2581" w:type="dxa"/>
            <w:vAlign w:val="center"/>
          </w:tcPr>
          <w:p w:rsidR="00A95CC1" w:rsidRPr="00E05844" w:rsidRDefault="00A95CC1" w:rsidP="00AC233F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254E7A" w:rsidRPr="00E05844" w:rsidRDefault="00254E7A" w:rsidP="00DC2F77">
      <w:pPr>
        <w:ind w:firstLine="567"/>
        <w:jc w:val="both"/>
      </w:pPr>
    </w:p>
    <w:p w:rsidR="008B5E4B" w:rsidRPr="00E05844" w:rsidRDefault="00213599" w:rsidP="008B5E4B">
      <w:pPr>
        <w:ind w:firstLine="567"/>
        <w:jc w:val="both"/>
      </w:pPr>
      <w:r w:rsidRPr="00E05844">
        <w:t xml:space="preserve">На </w:t>
      </w:r>
      <w:r w:rsidR="008B5E4B" w:rsidRPr="00E05844">
        <w:t xml:space="preserve">территории Российской Федерации зарегистрирован </w:t>
      </w:r>
      <w:r w:rsidRPr="00E05844">
        <w:t xml:space="preserve">реагент </w:t>
      </w:r>
      <w:r w:rsidR="008B5E4B" w:rsidRPr="00E05844">
        <w:t xml:space="preserve">диагностический </w:t>
      </w:r>
      <w:r w:rsidR="006D420D" w:rsidRPr="00E05844">
        <w:t>- иммунохроматографический тест</w:t>
      </w:r>
      <w:r w:rsidR="008B5E4B" w:rsidRPr="00E05844">
        <w:t xml:space="preserve"> R1 IK 200609, Германия, </w:t>
      </w:r>
      <w:r w:rsidRPr="00E05844">
        <w:t>производитель – «Т энд Д Инновационен Гмбх»</w:t>
      </w:r>
      <w:r w:rsidR="008B5E4B" w:rsidRPr="00E05844">
        <w:t xml:space="preserve"> (T&amp;D InnovationenGmbH), </w:t>
      </w:r>
      <w:r w:rsidRPr="00E05844">
        <w:t xml:space="preserve">РУ № ФСЗ 2010/07074 от 04.06.2010, </w:t>
      </w:r>
      <w:r w:rsidR="008B5E4B" w:rsidRPr="00E05844">
        <w:t xml:space="preserve">который совместим с </w:t>
      </w:r>
      <w:r w:rsidR="009E58CA" w:rsidRPr="00E05844">
        <w:t xml:space="preserve">анализатором </w:t>
      </w:r>
      <w:r w:rsidR="008B5E4B" w:rsidRPr="00E05844">
        <w:t xml:space="preserve">для химико-токсикологических исследований IK 200609, Германия,  </w:t>
      </w:r>
      <w:r w:rsidR="009E58CA" w:rsidRPr="00E05844">
        <w:t>производитель – «Т энд Д Инновационен Гмбх»</w:t>
      </w:r>
      <w:r w:rsidR="008B5E4B" w:rsidRPr="00E05844">
        <w:t xml:space="preserve"> (T&amp;D InnovationenGmbH), </w:t>
      </w:r>
      <w:r w:rsidR="009E58CA" w:rsidRPr="00E05844">
        <w:t>РУ № ФСЗ 2010/07075 от 04.06.2010.</w:t>
      </w:r>
    </w:p>
    <w:p w:rsidR="008B5E4B" w:rsidRPr="00E05844" w:rsidRDefault="006D420D" w:rsidP="005C552B">
      <w:pPr>
        <w:ind w:firstLine="567"/>
        <w:jc w:val="both"/>
      </w:pPr>
      <w:r w:rsidRPr="00E05844">
        <w:t xml:space="preserve">На </w:t>
      </w:r>
      <w:r w:rsidR="00EF30CD" w:rsidRPr="00E05844">
        <w:t xml:space="preserve">официальном сайте Росздравнадзора </w:t>
      </w:r>
      <w:r w:rsidR="008B5E4B" w:rsidRPr="00E05844">
        <w:t>размещено</w:t>
      </w:r>
      <w:r w:rsidR="00EF30CD" w:rsidRPr="00E05844">
        <w:t xml:space="preserve"> письмо № 16И-1271/13 от 28.10.2013 </w:t>
      </w:r>
      <w:r w:rsidR="008B5E4B" w:rsidRPr="00E05844">
        <w:t>«О несоответствии области применения медицинских изделий нормативной документации»</w:t>
      </w:r>
      <w:r w:rsidR="005C552B" w:rsidRPr="00E05844">
        <w:t>,</w:t>
      </w:r>
      <w:r w:rsidR="008B5E4B" w:rsidRPr="00E05844">
        <w:t xml:space="preserve"> где указано</w:t>
      </w:r>
      <w:r w:rsidR="00C36727" w:rsidRPr="00E05844">
        <w:t xml:space="preserve">, что </w:t>
      </w:r>
      <w:r w:rsidR="005C552B" w:rsidRPr="00E05844">
        <w:t xml:space="preserve">медицинские изделия: </w:t>
      </w:r>
      <w:r w:rsidR="00EF30CD" w:rsidRPr="00E05844">
        <w:t>р</w:t>
      </w:r>
      <w:r w:rsidR="008B5E4B" w:rsidRPr="00E05844">
        <w:t>еагенты диагностические (in</w:t>
      </w:r>
      <w:r w:rsidR="00590A37" w:rsidRPr="00E05844">
        <w:t xml:space="preserve"> </w:t>
      </w:r>
      <w:r w:rsidR="008B5E4B" w:rsidRPr="00E05844">
        <w:t>vitro) в наборах для химико-токсикологических исследований в</w:t>
      </w:r>
      <w:r w:rsidR="00DB0992" w:rsidRPr="00E05844">
        <w:t>еществ, вызывающих интоксикацию и</w:t>
      </w:r>
      <w:r w:rsidR="008B5E4B" w:rsidRPr="00E05844">
        <w:t xml:space="preserve"> на</w:t>
      </w:r>
      <w:r w:rsidR="004E42F2" w:rsidRPr="00E05844">
        <w:t>ркотическое опьянение</w:t>
      </w:r>
      <w:r w:rsidR="00DB0992" w:rsidRPr="00E05844">
        <w:t xml:space="preserve">, </w:t>
      </w:r>
      <w:r w:rsidR="004E42F2" w:rsidRPr="00E05844">
        <w:t>IK 200609</w:t>
      </w:r>
      <w:r w:rsidRPr="00E05844">
        <w:t xml:space="preserve"> </w:t>
      </w:r>
      <w:r w:rsidR="008B5E4B" w:rsidRPr="00E05844">
        <w:t xml:space="preserve">производства «Т энд Д Инновационен ГмбХ», Германия, </w:t>
      </w:r>
      <w:r w:rsidR="004E42F2" w:rsidRPr="00E05844">
        <w:t>РУ</w:t>
      </w:r>
      <w:r w:rsidR="008B5E4B" w:rsidRPr="00E05844">
        <w:t xml:space="preserve"> № ФСЗ 2010/07074 от 04.06.2</w:t>
      </w:r>
      <w:r w:rsidRPr="00E05844">
        <w:t>010</w:t>
      </w:r>
      <w:r w:rsidR="005C552B" w:rsidRPr="00E05844">
        <w:t xml:space="preserve">; </w:t>
      </w:r>
      <w:r w:rsidR="004E42F2" w:rsidRPr="00E05844">
        <w:t>а</w:t>
      </w:r>
      <w:r w:rsidR="008B5E4B" w:rsidRPr="00E05844">
        <w:t>нализатор для химико-токсикологических исследо</w:t>
      </w:r>
      <w:r w:rsidR="004E42F2" w:rsidRPr="00E05844">
        <w:t>ваний IK 200609</w:t>
      </w:r>
      <w:r w:rsidR="008B5E4B" w:rsidRPr="00E05844">
        <w:t xml:space="preserve"> производства «Т энд Д Инновационен ГмбХ», Германия, </w:t>
      </w:r>
      <w:r w:rsidR="004E42F2" w:rsidRPr="00E05844">
        <w:t>РУ</w:t>
      </w:r>
      <w:r w:rsidR="008B5E4B" w:rsidRPr="00E05844">
        <w:t xml:space="preserve"> № ФСЗ 2010/07075 от 04.06.2</w:t>
      </w:r>
      <w:r w:rsidR="005C552B" w:rsidRPr="00E05844">
        <w:t xml:space="preserve">010 </w:t>
      </w:r>
      <w:r w:rsidR="008B5E4B" w:rsidRPr="00E05844">
        <w:t>не используются для определения синтетических каннабиноидов (спайсов): JWH, AM, MN, О, URВ, СР, HU, НС, А, АKB, JTE, PTS, STS, PN, адамантан.</w:t>
      </w:r>
    </w:p>
    <w:p w:rsidR="008B5E4B" w:rsidRPr="00E05844" w:rsidRDefault="001C6E23" w:rsidP="008B5E4B">
      <w:pPr>
        <w:ind w:firstLine="567"/>
        <w:jc w:val="both"/>
      </w:pPr>
      <w:r w:rsidRPr="00E05844">
        <w:t xml:space="preserve">Указанное письмо не отменено, </w:t>
      </w:r>
      <w:r w:rsidR="008B5E4B" w:rsidRPr="00E05844">
        <w:t>является действующим и имеет полную юридическую силу.</w:t>
      </w:r>
    </w:p>
    <w:p w:rsidR="008B5E4B" w:rsidRPr="00E05844" w:rsidRDefault="008B5E4B" w:rsidP="00D92754">
      <w:pPr>
        <w:ind w:firstLine="567"/>
        <w:jc w:val="both"/>
      </w:pPr>
      <w:r w:rsidRPr="00E05844">
        <w:t xml:space="preserve">Кроме того, согласно письму ФГБУ </w:t>
      </w:r>
      <w:r w:rsidR="00866806" w:rsidRPr="00E05844">
        <w:t>«</w:t>
      </w:r>
      <w:r w:rsidRPr="00E05844">
        <w:t>ВНИИИМТ</w:t>
      </w:r>
      <w:r w:rsidR="00866806" w:rsidRPr="00E05844">
        <w:t xml:space="preserve">» Росздравнадзора </w:t>
      </w:r>
      <w:r w:rsidRPr="00E05844">
        <w:t xml:space="preserve">№ 01-2571/20 </w:t>
      </w:r>
      <w:r w:rsidR="00866806" w:rsidRPr="00E05844">
        <w:t xml:space="preserve">от 21.04.2020 </w:t>
      </w:r>
      <w:r w:rsidRPr="00E05844">
        <w:t xml:space="preserve">в комплекте регистрационного досье к </w:t>
      </w:r>
      <w:r w:rsidR="00964614" w:rsidRPr="00E05844">
        <w:t>РУ</w:t>
      </w:r>
      <w:r w:rsidRPr="00E05844">
        <w:t xml:space="preserve"> № ФСЗ 2010/07074 от 04.06.2010 «Реагенты диагностические (invitro) в наборах для химико-токсикологических исследований ве</w:t>
      </w:r>
      <w:r w:rsidR="00DB0992" w:rsidRPr="00E05844">
        <w:t xml:space="preserve">ществ, вызывающих интоксикацию и </w:t>
      </w:r>
      <w:r w:rsidRPr="00E05844">
        <w:t>наркотическое опьян</w:t>
      </w:r>
      <w:r w:rsidR="004F7B75" w:rsidRPr="00E05844">
        <w:t>ение</w:t>
      </w:r>
      <w:r w:rsidR="00DB0992" w:rsidRPr="00E05844">
        <w:t>,</w:t>
      </w:r>
      <w:r w:rsidR="004F7B75" w:rsidRPr="00E05844">
        <w:t xml:space="preserve"> IK 200609» </w:t>
      </w:r>
      <w:r w:rsidR="00964614" w:rsidRPr="00E05844">
        <w:t>производства  «Т энд Д Инновационен Гмбх»</w:t>
      </w:r>
      <w:r w:rsidR="004F7B75" w:rsidRPr="00E05844">
        <w:t xml:space="preserve"> </w:t>
      </w:r>
      <w:r w:rsidRPr="00E05844">
        <w:t>содержат</w:t>
      </w:r>
      <w:r w:rsidR="00964614" w:rsidRPr="00E05844">
        <w:t>ся</w:t>
      </w:r>
      <w:r w:rsidRPr="00E05844">
        <w:t xml:space="preserve"> протоколы технических испытаний, в которых имеются сведения о подтверждении определения веществ, вызывающих интоксикацию и наркотическое опьянение</w:t>
      </w:r>
      <w:r w:rsidR="00D92754" w:rsidRPr="00E05844">
        <w:t xml:space="preserve">. Вместе с тем, </w:t>
      </w:r>
      <w:r w:rsidR="00A915D0" w:rsidRPr="00E05844">
        <w:t>в указанных протоколах отсутствуют сведения</w:t>
      </w:r>
      <w:r w:rsidRPr="00E05844">
        <w:t xml:space="preserve">, подтверждающие определение </w:t>
      </w:r>
      <w:r w:rsidR="00140617" w:rsidRPr="00E05844">
        <w:t>с</w:t>
      </w:r>
      <w:r w:rsidR="00D92754" w:rsidRPr="00E05844">
        <w:t>интетических аналогов</w:t>
      </w:r>
      <w:r w:rsidRPr="00E05844">
        <w:t xml:space="preserve"> каннабиноидов.</w:t>
      </w:r>
    </w:p>
    <w:p w:rsidR="008B5E4B" w:rsidRPr="00E05844" w:rsidRDefault="008B5E4B" w:rsidP="008B5E4B">
      <w:pPr>
        <w:ind w:firstLine="567"/>
        <w:jc w:val="both"/>
      </w:pPr>
      <w:r w:rsidRPr="00E05844">
        <w:t>Согласно информации</w:t>
      </w:r>
      <w:r w:rsidR="00140617" w:rsidRPr="00E05844">
        <w:t>, размещенной на официальном сайте</w:t>
      </w:r>
      <w:r w:rsidRPr="00E05844">
        <w:t xml:space="preserve"> </w:t>
      </w:r>
      <w:r w:rsidR="00140617" w:rsidRPr="00E05844">
        <w:t>Росздравнадзора</w:t>
      </w:r>
      <w:r w:rsidR="00D328BF" w:rsidRPr="00E05844">
        <w:t>,</w:t>
      </w:r>
      <w:r w:rsidR="00140617" w:rsidRPr="00E05844">
        <w:t xml:space="preserve"> </w:t>
      </w:r>
      <w:r w:rsidRPr="00E05844">
        <w:t>на территории РФ</w:t>
      </w:r>
      <w:r w:rsidR="00D328BF" w:rsidRPr="00E05844">
        <w:t xml:space="preserve"> </w:t>
      </w:r>
      <w:r w:rsidRPr="00E05844">
        <w:t>отсутствуют зарегистрированные товары для выявления синтетических аналогов каннабиноидов,</w:t>
      </w:r>
      <w:r w:rsidR="00D328BF" w:rsidRPr="00E05844">
        <w:t xml:space="preserve"> </w:t>
      </w:r>
      <w:r w:rsidRPr="00E05844">
        <w:t xml:space="preserve">совместимые с </w:t>
      </w:r>
      <w:r w:rsidR="00D92754" w:rsidRPr="00E05844">
        <w:t xml:space="preserve">анализатором </w:t>
      </w:r>
      <w:r w:rsidRPr="00E05844">
        <w:t>для химико-токсикологи</w:t>
      </w:r>
      <w:r w:rsidR="00D92754" w:rsidRPr="00E05844">
        <w:t>ческих исследований IK 200609, имеющимся у заказчика.</w:t>
      </w:r>
    </w:p>
    <w:p w:rsidR="00D328BF" w:rsidRPr="00E05844" w:rsidRDefault="008B5E4B" w:rsidP="00D328BF">
      <w:pPr>
        <w:ind w:firstLine="567"/>
        <w:jc w:val="both"/>
      </w:pPr>
      <w:r w:rsidRPr="00E05844">
        <w:t xml:space="preserve">Таким образом, </w:t>
      </w:r>
      <w:r w:rsidR="00140617" w:rsidRPr="00E05844">
        <w:t xml:space="preserve">податель жалобы считает, что </w:t>
      </w:r>
      <w:r w:rsidR="00D328BF" w:rsidRPr="00E05844">
        <w:t>з</w:t>
      </w:r>
      <w:r w:rsidRPr="00E05844">
        <w:t>аказчик нарушил п.</w:t>
      </w:r>
      <w:r w:rsidR="00D328BF" w:rsidRPr="00E05844">
        <w:t xml:space="preserve"> </w:t>
      </w:r>
      <w:r w:rsidRPr="00E05844">
        <w:t>1 ч.</w:t>
      </w:r>
      <w:r w:rsidR="00D328BF" w:rsidRPr="00E05844">
        <w:t xml:space="preserve"> </w:t>
      </w:r>
      <w:r w:rsidRPr="00E05844">
        <w:t>1 ст.</w:t>
      </w:r>
      <w:r w:rsidR="00D328BF" w:rsidRPr="00E05844">
        <w:t xml:space="preserve"> </w:t>
      </w:r>
      <w:r w:rsidRPr="00E05844">
        <w:t xml:space="preserve">33 </w:t>
      </w:r>
      <w:r w:rsidR="00D328BF" w:rsidRPr="00E05844"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Pr="00E05844">
        <w:t xml:space="preserve">, поскольку </w:t>
      </w:r>
      <w:r w:rsidR="00D328BF" w:rsidRPr="00E05844">
        <w:t>в описании объекта закупки установлено требование</w:t>
      </w:r>
      <w:r w:rsidRPr="00E05844">
        <w:t xml:space="preserve"> к товару, не совместимому с имеющимся у </w:t>
      </w:r>
      <w:r w:rsidR="00D328BF" w:rsidRPr="00E05844">
        <w:t xml:space="preserve">заказчика </w:t>
      </w:r>
      <w:r w:rsidRPr="00E05844">
        <w:t>оборудованием.</w:t>
      </w:r>
    </w:p>
    <w:p w:rsidR="00DC2F77" w:rsidRPr="00E05844" w:rsidRDefault="00DC2F77" w:rsidP="00D328BF">
      <w:pPr>
        <w:ind w:firstLine="567"/>
        <w:jc w:val="both"/>
      </w:pPr>
      <w:r w:rsidRPr="00E05844">
        <w:rPr>
          <w:b/>
          <w:i/>
        </w:rPr>
        <w:t>ГБУЗ НСО «Краснозерская ЦРБ» в возражениях на жалобу ООО «ЮТИМ» сообщило следующее.</w:t>
      </w:r>
    </w:p>
    <w:p w:rsidR="003C0B0C" w:rsidRPr="00E05844" w:rsidRDefault="0016424F" w:rsidP="003C0B0C">
      <w:pPr>
        <w:ind w:firstLine="567"/>
        <w:jc w:val="both"/>
      </w:pPr>
      <w:r w:rsidRPr="00E05844">
        <w:t>В</w:t>
      </w:r>
      <w:r w:rsidR="003C0B0C" w:rsidRPr="00E05844">
        <w:t xml:space="preserve"> соответствии с ч. 1 ст. 33 Закона о контрактной системе в описании объекта закупки были указаны функциональные, технические и качественные характеристики, </w:t>
      </w:r>
      <w:r w:rsidRPr="00E05844">
        <w:t>эксплуатационные характеристики объекта закупки.</w:t>
      </w:r>
    </w:p>
    <w:p w:rsidR="003C0B0C" w:rsidRPr="00E05844" w:rsidRDefault="004F7B75" w:rsidP="003C0B0C">
      <w:pPr>
        <w:ind w:firstLine="567"/>
        <w:jc w:val="both"/>
      </w:pPr>
      <w:r w:rsidRPr="00E05844">
        <w:lastRenderedPageBreak/>
        <w:t>Описание объекта закупки составлено на основании потребностей заказчика и содержит</w:t>
      </w:r>
      <w:r w:rsidR="003C0B0C" w:rsidRPr="00E05844">
        <w:t xml:space="preserve"> </w:t>
      </w:r>
      <w:r w:rsidR="00822DB2" w:rsidRPr="00E05844">
        <w:t xml:space="preserve">характеристики, </w:t>
      </w:r>
      <w:r w:rsidR="003C0B0C" w:rsidRPr="00E05844">
        <w:t>необходимы</w:t>
      </w:r>
      <w:r w:rsidR="00822DB2" w:rsidRPr="00E05844">
        <w:t>е</w:t>
      </w:r>
      <w:r w:rsidR="003C0B0C" w:rsidRPr="00E05844">
        <w:t xml:space="preserve"> для качественного оказания </w:t>
      </w:r>
      <w:r w:rsidR="007B1C82" w:rsidRPr="00E05844">
        <w:t xml:space="preserve">заказчиком </w:t>
      </w:r>
      <w:r w:rsidR="003C0B0C" w:rsidRPr="00E05844">
        <w:t>услуг в сфере своей профессиональной деятельности и выполнения государственной программы бесплатного оказания гражданам медицинской помощи.</w:t>
      </w:r>
    </w:p>
    <w:p w:rsidR="003C0B0C" w:rsidRPr="00E05844" w:rsidRDefault="00256161" w:rsidP="003C0B0C">
      <w:pPr>
        <w:ind w:firstLine="567"/>
        <w:jc w:val="both"/>
      </w:pPr>
      <w:r w:rsidRPr="00E05844">
        <w:t>С 2016 года</w:t>
      </w:r>
      <w:r w:rsidR="0056016F" w:rsidRPr="00E05844">
        <w:t xml:space="preserve"> </w:t>
      </w:r>
      <w:r w:rsidR="00842BE6" w:rsidRPr="00E05844">
        <w:t xml:space="preserve">ГБУЗ НСО «Краснозерская ЦРБ» </w:t>
      </w:r>
      <w:r w:rsidR="0056016F" w:rsidRPr="00E05844">
        <w:t>использует а</w:t>
      </w:r>
      <w:r w:rsidR="003C0B0C" w:rsidRPr="00E05844">
        <w:t>нализатор IK 200609 для химико-токсикологических исследований, а также реагенты диагностические (in vitro) в наборах для химико-токсикологических исследований в</w:t>
      </w:r>
      <w:r w:rsidR="00E05844" w:rsidRPr="00E05844">
        <w:t>еществ, вызывающих интоксикацию и</w:t>
      </w:r>
      <w:r w:rsidR="003C0B0C" w:rsidRPr="00E05844">
        <w:t xml:space="preserve"> наркотическ</w:t>
      </w:r>
      <w:r w:rsidR="00E05844" w:rsidRPr="00E05844">
        <w:t xml:space="preserve">ое опьянение, </w:t>
      </w:r>
      <w:r w:rsidR="003C0B0C" w:rsidRPr="00E05844">
        <w:t>IK 200609.</w:t>
      </w:r>
    </w:p>
    <w:p w:rsidR="00E74E78" w:rsidRPr="00E05844" w:rsidRDefault="003C0B0C" w:rsidP="003C0B0C">
      <w:pPr>
        <w:ind w:firstLine="567"/>
        <w:jc w:val="both"/>
      </w:pPr>
      <w:r w:rsidRPr="00E05844">
        <w:t>Согласно информации</w:t>
      </w:r>
      <w:r w:rsidR="00AD5B7B" w:rsidRPr="00E05844">
        <w:t>,</w:t>
      </w:r>
      <w:r w:rsidRPr="00E05844">
        <w:t xml:space="preserve"> содержащейся в информационном письме Центральной химико-токсикологической лаборатории ГБОУ ВПО </w:t>
      </w:r>
      <w:r w:rsidR="00AD5B7B" w:rsidRPr="00E05844">
        <w:t>«</w:t>
      </w:r>
      <w:r w:rsidRPr="00E05844">
        <w:t>Первый МГМУ им. И.М. Сеченова</w:t>
      </w:r>
      <w:r w:rsidR="00AD5B7B" w:rsidRPr="00E05844">
        <w:t xml:space="preserve">» № 15.63-38/19 от 13.04.2015, в настоящее время </w:t>
      </w:r>
      <w:r w:rsidR="00BE6D8F" w:rsidRPr="00E05844">
        <w:t>этикетка на упаковке реагентов для определения синтетических аналогов каннабиноидов «Реагент диагностический</w:t>
      </w:r>
      <w:r w:rsidRPr="00E05844">
        <w:t xml:space="preserve"> (in vitro) в наборах для химико-токсикологических исследований ве</w:t>
      </w:r>
      <w:r w:rsidR="00DB0992" w:rsidRPr="00E05844">
        <w:t xml:space="preserve">ществ, вызывающих интоксикацию и </w:t>
      </w:r>
      <w:r w:rsidRPr="00E05844">
        <w:t>нар</w:t>
      </w:r>
      <w:r w:rsidR="00842BE6" w:rsidRPr="00E05844">
        <w:t>котическое опьянение</w:t>
      </w:r>
      <w:r w:rsidR="00DB0992" w:rsidRPr="00E05844">
        <w:t xml:space="preserve">, </w:t>
      </w:r>
      <w:r w:rsidR="001E4CAC" w:rsidRPr="00E05844">
        <w:t xml:space="preserve">IK </w:t>
      </w:r>
      <w:r w:rsidR="00842BE6" w:rsidRPr="00E05844">
        <w:t>200609»</w:t>
      </w:r>
      <w:r w:rsidRPr="00E05844">
        <w:t xml:space="preserve"> </w:t>
      </w:r>
      <w:r w:rsidR="00842BE6" w:rsidRPr="00E05844">
        <w:t xml:space="preserve">производства </w:t>
      </w:r>
      <w:r w:rsidRPr="00E05844">
        <w:t>«Т энд</w:t>
      </w:r>
      <w:r w:rsidR="00842BE6" w:rsidRPr="00E05844">
        <w:t xml:space="preserve"> Д Инновационен ГмбХ» </w:t>
      </w:r>
      <w:r w:rsidRPr="00E05844">
        <w:t xml:space="preserve">соответствует заявленной при регистрации. </w:t>
      </w:r>
    </w:p>
    <w:p w:rsidR="003C0B0C" w:rsidRPr="00E05844" w:rsidRDefault="003C0B0C" w:rsidP="003C0B0C">
      <w:pPr>
        <w:ind w:firstLine="567"/>
        <w:jc w:val="both"/>
      </w:pPr>
      <w:r w:rsidRPr="00E05844">
        <w:t>В акте соответствия (несоответствия) данных реагентов заявленным производителем характеристикам, требованиям к техническим средствам, применяемым при проведении предварительных химико-токсикологически</w:t>
      </w:r>
      <w:r w:rsidR="005274E2" w:rsidRPr="00E05844">
        <w:t>х исследований</w:t>
      </w:r>
      <w:r w:rsidR="00946158" w:rsidRPr="00E05844">
        <w:t xml:space="preserve"> от 12.04.2016</w:t>
      </w:r>
      <w:r w:rsidRPr="00E05844">
        <w:t xml:space="preserve">, составленном по результатам проведения экспертизы, проведенной на кафедре аналитической токсикологии, фармацевтической химии и фармакогнозии ГБОУ ВПО </w:t>
      </w:r>
      <w:r w:rsidR="00946158" w:rsidRPr="00E05844">
        <w:t>«</w:t>
      </w:r>
      <w:r w:rsidRPr="00E05844">
        <w:t>Первый МГМУ им. И.М. Сеченова</w:t>
      </w:r>
      <w:r w:rsidR="00946158" w:rsidRPr="00E05844">
        <w:t>»</w:t>
      </w:r>
      <w:r w:rsidRPr="00E05844">
        <w:t xml:space="preserve">, </w:t>
      </w:r>
      <w:r w:rsidR="002D08BC" w:rsidRPr="00E05844">
        <w:t>указано следующее</w:t>
      </w:r>
      <w:r w:rsidRPr="00E05844">
        <w:t>:</w:t>
      </w:r>
    </w:p>
    <w:p w:rsidR="0087050C" w:rsidRPr="00E05844" w:rsidRDefault="002D08BC" w:rsidP="0087050C">
      <w:pPr>
        <w:ind w:firstLine="567"/>
        <w:jc w:val="both"/>
      </w:pPr>
      <w:r w:rsidRPr="00E05844">
        <w:t>- а</w:t>
      </w:r>
      <w:r w:rsidR="003C0B0C" w:rsidRPr="00E05844">
        <w:t>нализатор IK 200609 для химико-токсикологических исследований в комплекте с реагентами диагно</w:t>
      </w:r>
      <w:r w:rsidR="004D02E0" w:rsidRPr="00E05844">
        <w:t>стическими (in vitro) в наборах для химико-</w:t>
      </w:r>
      <w:r w:rsidR="003C0B0C" w:rsidRPr="00E05844">
        <w:t>токсикологических исследований в</w:t>
      </w:r>
      <w:r w:rsidR="00DB0992" w:rsidRPr="00E05844">
        <w:t>еществ, вызывающих интоксикацию и</w:t>
      </w:r>
      <w:r w:rsidR="003C0B0C" w:rsidRPr="00E05844">
        <w:t xml:space="preserve"> наркотическое опьянение</w:t>
      </w:r>
      <w:r w:rsidR="005274E2" w:rsidRPr="00E05844">
        <w:t>,</w:t>
      </w:r>
      <w:r w:rsidR="003C0B0C" w:rsidRPr="00E05844">
        <w:t xml:space="preserve"> R1 IK 200609</w:t>
      </w:r>
      <w:r w:rsidR="005274E2" w:rsidRPr="00E05844">
        <w:t xml:space="preserve"> </w:t>
      </w:r>
      <w:r w:rsidR="003C0B0C" w:rsidRPr="00E05844">
        <w:t>обеспечивает определение всего перечня соединений</w:t>
      </w:r>
      <w:r w:rsidR="004D02E0" w:rsidRPr="00E05844">
        <w:t>,</w:t>
      </w:r>
      <w:r w:rsidR="003C0B0C" w:rsidRPr="00E05844">
        <w:t xml:space="preserve"> заявленных производителем</w:t>
      </w:r>
      <w:r w:rsidR="004D02E0" w:rsidRPr="00E05844">
        <w:t>,</w:t>
      </w:r>
      <w:r w:rsidR="003C0B0C" w:rsidRPr="00E05844">
        <w:t xml:space="preserve"> в соответствии с указанными изготовителем аналитическими и функциональными характеристиками (чувствительности, специфичности и пределами количественного определения) и соответствует требованиям национальных стандартов;</w:t>
      </w:r>
    </w:p>
    <w:p w:rsidR="003C0B0C" w:rsidRPr="00E05844" w:rsidRDefault="002D08BC" w:rsidP="0087050C">
      <w:pPr>
        <w:ind w:firstLine="567"/>
        <w:jc w:val="both"/>
      </w:pPr>
      <w:r w:rsidRPr="00E05844">
        <w:t xml:space="preserve">- </w:t>
      </w:r>
      <w:r w:rsidR="0087050C" w:rsidRPr="00E05844">
        <w:t>анализатор и реагенты полностью соответствуют требованиям к техническим средствам, применяемым при проведении предварительных химико</w:t>
      </w:r>
      <w:r w:rsidR="001E4CAC" w:rsidRPr="00E05844">
        <w:t>-токсикологических исследований.</w:t>
      </w:r>
      <w:r w:rsidR="0087050C" w:rsidRPr="00E05844">
        <w:t xml:space="preserve"> </w:t>
      </w:r>
    </w:p>
    <w:p w:rsidR="003C0B0C" w:rsidRPr="00E05844" w:rsidRDefault="003C0B0C" w:rsidP="003C0B0C">
      <w:pPr>
        <w:ind w:firstLine="567"/>
        <w:jc w:val="both"/>
      </w:pPr>
      <w:r w:rsidRPr="00E05844">
        <w:t xml:space="preserve">Согласно руководству по эксплуатации анализатора для химико-токсикологических исследований IK 200609 </w:t>
      </w:r>
      <w:r w:rsidR="007361AC" w:rsidRPr="00E05844">
        <w:t>РУ № ФСЗ 2010/07075</w:t>
      </w:r>
      <w:r w:rsidRPr="00E05844">
        <w:t xml:space="preserve"> анализатор и реагенты к нему зарегистрированы в соответствии с законодательством Российской Федерации, имеют действующие бессрочные регистрационные удостоверения, не запрещены к использованию и не имеют ограничений на всей территории Российской Федерации. </w:t>
      </w:r>
    </w:p>
    <w:p w:rsidR="003C0B0C" w:rsidRPr="00E05844" w:rsidRDefault="003C0B0C" w:rsidP="00A749BA">
      <w:pPr>
        <w:ind w:firstLine="567"/>
        <w:jc w:val="both"/>
      </w:pPr>
      <w:r w:rsidRPr="00E05844">
        <w:t>На официал</w:t>
      </w:r>
      <w:r w:rsidR="00101620" w:rsidRPr="00E05844">
        <w:t xml:space="preserve">ьном сайте производителя </w:t>
      </w:r>
      <w:r w:rsidR="00317055" w:rsidRPr="00E05844">
        <w:t>содержится информация о том, что анализатор оснащен следующей характеристикой</w:t>
      </w:r>
      <w:r w:rsidR="00101620" w:rsidRPr="00E05844">
        <w:t>: ч</w:t>
      </w:r>
      <w:r w:rsidRPr="00E05844">
        <w:t>увствительность определения (минимально определяемая концентрация) составляет для опиатов (ОР1) (в том числе</w:t>
      </w:r>
      <w:r w:rsidR="00101620" w:rsidRPr="00E05844">
        <w:t>,</w:t>
      </w:r>
      <w:r w:rsidRPr="00E05844">
        <w:t xml:space="preserve"> дезоморфина) - 50 нг/мл, каннабиноидов (ТНС)</w:t>
      </w:r>
      <w:r w:rsidR="00101620" w:rsidRPr="00E05844">
        <w:t xml:space="preserve"> - </w:t>
      </w:r>
      <w:r w:rsidRPr="00E05844">
        <w:t>15 нг/мл, амфетамина (АМР) и их производных - 25 нг/мл, барбитуратов (ВАК) - 50 нг/мл, метамфетаминов (тАМР) - 25 нг/мл, бензодиазепинов (В20) - 20 нг/мл, кокаина (СОС) - 25 нг/мл, экстази (МВМА) - 40 нг/мл, метадона (МТВ) - 25 нг/мл, котинина (СОТ)</w:t>
      </w:r>
      <w:r w:rsidR="00101620" w:rsidRPr="00E05844">
        <w:t xml:space="preserve"> - </w:t>
      </w:r>
      <w:r w:rsidRPr="00E05844">
        <w:t>20 нг/мл, спайсов (синтетические каннабиноиды) - 5 нг/мл, этилглюкуронида (метаболит этанола) - 200 нг/мл, метилендиоксипировалерона (син</w:t>
      </w:r>
      <w:r w:rsidR="00E72B59" w:rsidRPr="00E05844">
        <w:t>тетические катиноны) - 20 нг/мл</w:t>
      </w:r>
      <w:r w:rsidRPr="00E05844">
        <w:t>. Определяемые вещества отражены и могут быть определены.</w:t>
      </w:r>
    </w:p>
    <w:p w:rsidR="003C0B0C" w:rsidRPr="00E05844" w:rsidRDefault="003C0B0C" w:rsidP="003C0B0C">
      <w:pPr>
        <w:ind w:firstLine="567"/>
        <w:jc w:val="both"/>
      </w:pPr>
      <w:r w:rsidRPr="00E05844">
        <w:t xml:space="preserve">Кроме того, </w:t>
      </w:r>
      <w:r w:rsidR="001E4CAC" w:rsidRPr="00E05844">
        <w:t>в соответствии с описанием объекта закупки</w:t>
      </w:r>
      <w:r w:rsidRPr="00E05844">
        <w:t xml:space="preserve"> возможна поставка эквивалентных реагентов, совместимых с анализатором</w:t>
      </w:r>
      <w:r w:rsidR="006F2919" w:rsidRPr="00E05844">
        <w:t>, имеющимся у заказчика</w:t>
      </w:r>
      <w:r w:rsidRPr="00E05844">
        <w:t>.</w:t>
      </w:r>
    </w:p>
    <w:p w:rsidR="003C0B0C" w:rsidRPr="00E05844" w:rsidRDefault="003C0B0C" w:rsidP="003C0B0C">
      <w:pPr>
        <w:ind w:firstLine="567"/>
        <w:jc w:val="both"/>
      </w:pPr>
      <w:r w:rsidRPr="00E05844">
        <w:t>Согласно разъяснениям по подготовке информационных писем для специалистов сферы здравоохранения и фармацевтики по вопросам эффективности и безопасности лекарственных средств,</w:t>
      </w:r>
      <w:r w:rsidR="006F2919" w:rsidRPr="00E05844">
        <w:t xml:space="preserve"> согласованным р</w:t>
      </w:r>
      <w:r w:rsidRPr="00E05844">
        <w:t xml:space="preserve">абочей группой Росздравнадзора по вопросам мониторинга эффективности и безопасности лекарственных средств в ходе клинических исследований и в пострегистрационном периоде (протокол № 2 от 18.06.2009), разъяснения, подготовленные на основе анализа международного опыта регулирования обращения медицинской продукции, </w:t>
      </w:r>
      <w:r w:rsidRPr="00E05844">
        <w:lastRenderedPageBreak/>
        <w:t>носят рекомендательный характер и не создают дополнительных юридических обязательств или ответственности для заявителей государственной регистрации лекарственных средств.</w:t>
      </w:r>
    </w:p>
    <w:p w:rsidR="003C0B0C" w:rsidRPr="00E05844" w:rsidRDefault="003C0B0C" w:rsidP="003C0B0C">
      <w:pPr>
        <w:ind w:firstLine="567"/>
        <w:jc w:val="both"/>
      </w:pPr>
      <w:r w:rsidRPr="00E05844">
        <w:t>На основании вышеизложенного</w:t>
      </w:r>
      <w:r w:rsidR="00773664" w:rsidRPr="00E05844">
        <w:t>, заказчик полагает, что</w:t>
      </w:r>
      <w:r w:rsidRPr="00E05844">
        <w:t xml:space="preserve"> вышеуказанные письма Росздравнадзора, на которых основываются доводы </w:t>
      </w:r>
      <w:r w:rsidR="002D6E6B" w:rsidRPr="00E05844">
        <w:t>подателя жалобы</w:t>
      </w:r>
      <w:r w:rsidRPr="00E05844">
        <w:t>, являются информационно-разъяснительными сообщениями, признаками нормативного правового акта не обладают, не подлежат официальному опубликованию и, следовательно, не имеют юридической силы.</w:t>
      </w:r>
    </w:p>
    <w:p w:rsidR="003C0B0C" w:rsidRPr="00E05844" w:rsidRDefault="002D6E6B" w:rsidP="003C0B0C">
      <w:pPr>
        <w:ind w:firstLine="567"/>
        <w:jc w:val="both"/>
      </w:pPr>
      <w:r w:rsidRPr="00E05844">
        <w:t>Кроме того, у</w:t>
      </w:r>
      <w:r w:rsidR="003C0B0C" w:rsidRPr="00E05844">
        <w:t>казанный в письме Росздравнадзора перечень синтети</w:t>
      </w:r>
      <w:r w:rsidR="000864A2" w:rsidRPr="00E05844">
        <w:t>ческих каннабиноидов (спайсов) (</w:t>
      </w:r>
      <w:r w:rsidR="003C0B0C" w:rsidRPr="00E05844">
        <w:t>JWH, AM, MN, О, URB, CP, HU, НС, А, АКВ, JTE, PTS, STS, PN, адамантан</w:t>
      </w:r>
      <w:r w:rsidR="000864A2" w:rsidRPr="00E05844">
        <w:t>)</w:t>
      </w:r>
      <w:r w:rsidR="003C0B0C" w:rsidRPr="00E05844">
        <w:t xml:space="preserve"> не является исчерпывающим, следовательно</w:t>
      </w:r>
      <w:r w:rsidR="004A2740" w:rsidRPr="00E05844">
        <w:t>,</w:t>
      </w:r>
      <w:r w:rsidR="003C0B0C" w:rsidRPr="00E05844">
        <w:t xml:space="preserve"> определение синтетических каннабиноидов (спайсов), не указанных в нем</w:t>
      </w:r>
      <w:r w:rsidR="004A2740" w:rsidRPr="00E05844">
        <w:t>, возможно</w:t>
      </w:r>
      <w:r w:rsidR="003C0B0C" w:rsidRPr="00E05844">
        <w:t>.</w:t>
      </w:r>
    </w:p>
    <w:p w:rsidR="00B12CE9" w:rsidRPr="00E05844" w:rsidRDefault="00DC2F77" w:rsidP="00B12CE9">
      <w:pPr>
        <w:ind w:firstLine="567"/>
        <w:jc w:val="both"/>
        <w:rPr>
          <w:b/>
          <w:i/>
        </w:rPr>
      </w:pPr>
      <w:r w:rsidRPr="00E05844">
        <w:rPr>
          <w:b/>
          <w:i/>
        </w:rPr>
        <w:t>Изучив представленные материалы и доводы сторон, Комиссия Новосибирского УФАС России пришла к следующим выводам</w:t>
      </w:r>
      <w:r w:rsidR="004A2740" w:rsidRPr="00E05844">
        <w:rPr>
          <w:b/>
          <w:i/>
        </w:rPr>
        <w:t>.</w:t>
      </w:r>
    </w:p>
    <w:p w:rsidR="00B12CE9" w:rsidRPr="00E05844" w:rsidRDefault="00B12CE9" w:rsidP="00B12CE9">
      <w:pPr>
        <w:ind w:firstLine="567"/>
        <w:jc w:val="both"/>
        <w:rPr>
          <w:b/>
          <w:i/>
        </w:rPr>
      </w:pPr>
      <w:r w:rsidRPr="00E05844">
        <w:t>В соответствии с п. 1 ч. 1 ст.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  <w:r w:rsidR="00BF3D55" w:rsidRPr="00E05844">
        <w:t xml:space="preserve"> В силу ч. 2 ст. 3</w:t>
      </w:r>
      <w:r w:rsidR="003026B8">
        <w:t>3 Закона о контрактной системе д</w:t>
      </w:r>
      <w:r w:rsidR="00BF3D55" w:rsidRPr="00E05844">
        <w:t>окументация о закупке в соответствии с требованиями, указанными в ч. 1 данной статьи,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4361BB" w:rsidRPr="00E05844" w:rsidRDefault="004361BB" w:rsidP="004361BB">
      <w:pPr>
        <w:ind w:firstLine="567"/>
        <w:jc w:val="both"/>
      </w:pPr>
      <w:r w:rsidRPr="00E05844">
        <w:t>Согласно п. 2 описа</w:t>
      </w:r>
      <w:r w:rsidR="000864A2" w:rsidRPr="00E05844">
        <w:t xml:space="preserve">ния объекта закупки к поставке </w:t>
      </w:r>
      <w:r w:rsidRPr="00E05844">
        <w:t>необходим</w:t>
      </w:r>
      <w:r w:rsidR="000864A2" w:rsidRPr="00E05844">
        <w:t>,</w:t>
      </w:r>
      <w:r w:rsidRPr="00E05844">
        <w:t xml:space="preserve"> </w:t>
      </w:r>
      <w:r w:rsidR="000864A2" w:rsidRPr="00E05844">
        <w:t xml:space="preserve">в том числе, </w:t>
      </w:r>
      <w:r w:rsidRPr="00E05844">
        <w:t>набор реагентов для определения синтетических аналогов каннабиноидов. Поставляемые реагенты должны быть совместимы с используемым заказчиком анализатором для химико-токсикологических исследований IK 200609.</w:t>
      </w:r>
    </w:p>
    <w:p w:rsidR="004361BB" w:rsidRPr="00E05844" w:rsidRDefault="004361BB" w:rsidP="004361BB">
      <w:pPr>
        <w:ind w:firstLine="567"/>
        <w:jc w:val="both"/>
      </w:pPr>
      <w:r w:rsidRPr="00E05844">
        <w:t>В соответствии с п. 1 Положения о Федеральной службе по надзору в сфере здравоохранения, утвержденного постановлением Правительства РФ № 323 от 30.06.2004</w:t>
      </w:r>
      <w:r w:rsidR="00A749BA" w:rsidRPr="00E05844">
        <w:t xml:space="preserve">  «Об утверждении Положения о Федеральной службе по надзору в сфере здравоохранения»</w:t>
      </w:r>
      <w:r w:rsidRPr="00E05844">
        <w:t>, Федеральная служба по надзору в сфере здравоохранения (Росздравнадзор) является федеральным органом исполнительной власти, осуществляющим функции по контролю и надзору в сфере здравоохранения.</w:t>
      </w:r>
    </w:p>
    <w:p w:rsidR="003330BC" w:rsidRPr="00E05844" w:rsidRDefault="00B110E1" w:rsidP="00D5724C">
      <w:pPr>
        <w:ind w:firstLine="567"/>
        <w:jc w:val="both"/>
      </w:pPr>
      <w:r w:rsidRPr="00E05844">
        <w:t xml:space="preserve">Комиссией Новосибирского УФАС России было установлено, что на официальном сайте Росздравнадзора </w:t>
      </w:r>
      <w:r w:rsidR="002D7AAC" w:rsidRPr="00E05844">
        <w:t xml:space="preserve">(в </w:t>
      </w:r>
      <w:r w:rsidR="00B859A5" w:rsidRPr="00E05844">
        <w:t>сведени</w:t>
      </w:r>
      <w:r w:rsidR="008E01DF" w:rsidRPr="00E05844">
        <w:t>ях</w:t>
      </w:r>
      <w:r w:rsidR="00B859A5" w:rsidRPr="00E05844">
        <w:t xml:space="preserve"> о РУ </w:t>
      </w:r>
      <w:r w:rsidR="008E01DF" w:rsidRPr="00E05844">
        <w:t>на медицинские изделия № ФСЗ 2010/07074 от 04.06.2010, РУ № ФСЗ 2010/07075 от 04.06.2010)</w:t>
      </w:r>
      <w:r w:rsidR="00B859A5" w:rsidRPr="00E05844">
        <w:t xml:space="preserve"> </w:t>
      </w:r>
      <w:r w:rsidRPr="00E05844">
        <w:t>размещено письмо № 16И-1271/13 от 28.10.2013 «О несоответствии области применения медицинских изделий нормативной документации»</w:t>
      </w:r>
      <w:r w:rsidR="00D5724C" w:rsidRPr="00E05844">
        <w:t>,</w:t>
      </w:r>
      <w:r w:rsidRPr="00E05844">
        <w:t xml:space="preserve"> где указано, что медицинские изделия:</w:t>
      </w:r>
      <w:r w:rsidR="00D5724C" w:rsidRPr="00E05844">
        <w:t xml:space="preserve"> </w:t>
      </w:r>
      <w:r w:rsidRPr="00E05844">
        <w:t>реагенты диагностические (in</w:t>
      </w:r>
      <w:r w:rsidR="00590A37" w:rsidRPr="00E05844">
        <w:t xml:space="preserve"> </w:t>
      </w:r>
      <w:r w:rsidRPr="00E05844">
        <w:t>vitro) в наборах для химико-токсикологических исследований в</w:t>
      </w:r>
      <w:r w:rsidR="00DB0992" w:rsidRPr="00E05844">
        <w:t xml:space="preserve">еществ, вызывающих интоксикацию и </w:t>
      </w:r>
      <w:r w:rsidRPr="00E05844">
        <w:t>на</w:t>
      </w:r>
      <w:r w:rsidR="006208F7" w:rsidRPr="00E05844">
        <w:t>ркотическое опьянение, IK 200609</w:t>
      </w:r>
      <w:r w:rsidRPr="00E05844">
        <w:t xml:space="preserve"> производства «Т энд Д Инновационен ГмбХ», Германия, РУ </w:t>
      </w:r>
      <w:r w:rsidR="00D5724C" w:rsidRPr="00E05844">
        <w:t xml:space="preserve">№ ФСЗ 2010/07074 от 04.06.2010; </w:t>
      </w:r>
      <w:r w:rsidRPr="00E05844">
        <w:t>анализатор для химико-токсикологических исследований IK 200609</w:t>
      </w:r>
      <w:r w:rsidR="006208F7" w:rsidRPr="00E05844">
        <w:t xml:space="preserve"> </w:t>
      </w:r>
      <w:r w:rsidRPr="00E05844">
        <w:t>производства «Т энд Д Инновационен ГмбХ», Германия, РУ № ФСЗ 2010/07075 от 04.06.</w:t>
      </w:r>
      <w:r w:rsidR="00D5724C" w:rsidRPr="00E05844">
        <w:t xml:space="preserve">2010 </w:t>
      </w:r>
      <w:r w:rsidRPr="00E05844">
        <w:rPr>
          <w:u w:val="single"/>
        </w:rPr>
        <w:t>не используются для определения синтетических каннабиноидов (спайсов)</w:t>
      </w:r>
      <w:r w:rsidRPr="00E05844">
        <w:t>: JWH, AM, MN, О, URВ, СР, HU, НС, А, АKB, JTE, PTS, STS, PN, адамантан.</w:t>
      </w:r>
    </w:p>
    <w:p w:rsidR="004361BB" w:rsidRPr="00E05844" w:rsidRDefault="004361BB" w:rsidP="00FA49BE">
      <w:pPr>
        <w:ind w:firstLine="567"/>
        <w:jc w:val="both"/>
      </w:pPr>
      <w:r w:rsidRPr="00E05844">
        <w:t xml:space="preserve">Данная информация также подтверждается </w:t>
      </w:r>
      <w:r w:rsidR="00FA49BE" w:rsidRPr="00E05844">
        <w:t xml:space="preserve">письмами Росздравнадзора № 04-29513/20 от 03.06.2020, </w:t>
      </w:r>
      <w:r w:rsidR="00307109" w:rsidRPr="00E05844">
        <w:t>№ 10-61887/20 от 20.10.2020</w:t>
      </w:r>
      <w:r w:rsidR="00FA49BE" w:rsidRPr="00E05844">
        <w:t>.</w:t>
      </w:r>
    </w:p>
    <w:p w:rsidR="00C86104" w:rsidRPr="00E05844" w:rsidRDefault="00C86104" w:rsidP="00C86104">
      <w:pPr>
        <w:ind w:firstLine="567"/>
        <w:jc w:val="both"/>
      </w:pPr>
      <w:r w:rsidRPr="00E05844">
        <w:t>На основании изложенного, Комиссия Новосибирского УФАС России пришла к выводу о том, что анализатор для химико-токсиколо</w:t>
      </w:r>
      <w:r w:rsidR="006208F7" w:rsidRPr="00E05844">
        <w:t>гических исследований IK 200609</w:t>
      </w:r>
      <w:r w:rsidRPr="00E05844">
        <w:t xml:space="preserve"> производства «Т энд Д Инновационен ГмбХ», Германия, РУ № ФСЗ 2010/07075 от 04.06.2010, имеющийся у заказчика, не может быть использован для определения синтетических аналогов каннабиноидов (спайсов).</w:t>
      </w:r>
    </w:p>
    <w:p w:rsidR="00FC4BC4" w:rsidRPr="00E05844" w:rsidRDefault="00C12657" w:rsidP="008C3976">
      <w:pPr>
        <w:ind w:firstLine="567"/>
        <w:jc w:val="both"/>
      </w:pPr>
      <w:r w:rsidRPr="00E05844">
        <w:t xml:space="preserve">Кроме того, </w:t>
      </w:r>
      <w:r w:rsidR="00394D00" w:rsidRPr="00E05844">
        <w:t>реагенты, необходимые к поставке, должны быть совместимы с данным анализатором.</w:t>
      </w:r>
    </w:p>
    <w:p w:rsidR="00A9053B" w:rsidRPr="00E05844" w:rsidRDefault="009D77E2" w:rsidP="00A9053B">
      <w:pPr>
        <w:ind w:firstLine="567"/>
        <w:jc w:val="both"/>
      </w:pPr>
      <w:r w:rsidRPr="00E05844">
        <w:t xml:space="preserve">Как следует из Письма </w:t>
      </w:r>
      <w:r w:rsidR="00D5724C" w:rsidRPr="00E05844">
        <w:rPr>
          <w:shd w:val="clear" w:color="auto" w:fill="FFFFFF"/>
        </w:rPr>
        <w:t>Росздравнадзора</w:t>
      </w:r>
      <w:r w:rsidRPr="00E05844">
        <w:rPr>
          <w:shd w:val="clear" w:color="auto" w:fill="FFFFFF"/>
        </w:rPr>
        <w:t xml:space="preserve"> </w:t>
      </w:r>
      <w:r w:rsidRPr="00E05844">
        <w:t xml:space="preserve">от 05.02.2016 № 09 С-571-1414, возможность эксплуатации медицинского оборудования одного производителя совместно с принадлежностями другого производителя определяется производителем медицинского оборудования. Совместное применение таких изделий без проведённых экспертиз на </w:t>
      </w:r>
      <w:r w:rsidRPr="00E05844">
        <w:lastRenderedPageBreak/>
        <w:t>совместимость может привести к причинению вреда жизни, здоровью граждан и медицинских работников.</w:t>
      </w:r>
    </w:p>
    <w:p w:rsidR="00904501" w:rsidRPr="00E05844" w:rsidRDefault="00A54362" w:rsidP="00904501">
      <w:pPr>
        <w:ind w:firstLine="567"/>
        <w:jc w:val="both"/>
      </w:pPr>
      <w:r w:rsidRPr="00E05844">
        <w:t xml:space="preserve">В </w:t>
      </w:r>
      <w:r w:rsidR="00A9053B" w:rsidRPr="00E05844">
        <w:t>раздел</w:t>
      </w:r>
      <w:r w:rsidRPr="00E05844">
        <w:t xml:space="preserve">е </w:t>
      </w:r>
      <w:r w:rsidR="00A9053B" w:rsidRPr="00E05844">
        <w:t>3</w:t>
      </w:r>
      <w:r w:rsidRPr="00E05844">
        <w:t xml:space="preserve"> </w:t>
      </w:r>
      <w:r w:rsidR="00A9053B" w:rsidRPr="00E05844">
        <w:t xml:space="preserve">руководства </w:t>
      </w:r>
      <w:r w:rsidR="00107CE2" w:rsidRPr="00E05844">
        <w:t xml:space="preserve">по эксплуатации </w:t>
      </w:r>
      <w:r w:rsidR="00A9053B" w:rsidRPr="00E05844">
        <w:t xml:space="preserve"> анализатора для химико-токсиколо</w:t>
      </w:r>
      <w:r w:rsidR="006208F7" w:rsidRPr="00E05844">
        <w:t>гических исследований IK 200609</w:t>
      </w:r>
      <w:r w:rsidR="00A9053B" w:rsidRPr="00E05844">
        <w:t xml:space="preserve"> производства «Т энд Д Инновационен ГмбХ», Германия, РУ № ФСЗ 2010/07075 от 04.06.2010  </w:t>
      </w:r>
      <w:r w:rsidRPr="00E05844">
        <w:t>(Реагенты (бионсеры)) содержится информация о диагностических реагентах R1 IK 200609 (биосенсорах). Вместе с тем, руководство по эксплуатации  анализатора для химико-токсикологических исследований IK 200609 не содержит</w:t>
      </w:r>
      <w:r w:rsidR="00EB20A1" w:rsidRPr="00E05844">
        <w:t xml:space="preserve"> информацию о возможности применения </w:t>
      </w:r>
      <w:r w:rsidRPr="00E05844">
        <w:t xml:space="preserve"> </w:t>
      </w:r>
      <w:r w:rsidR="00EB20A1" w:rsidRPr="00E05844">
        <w:t>регентов иных производителей.</w:t>
      </w:r>
    </w:p>
    <w:p w:rsidR="00394D00" w:rsidRPr="00E05844" w:rsidRDefault="00B74DF2" w:rsidP="008C3976">
      <w:pPr>
        <w:ind w:firstLine="567"/>
        <w:jc w:val="both"/>
      </w:pPr>
      <w:r w:rsidRPr="00E05844">
        <w:t>Кроме того</w:t>
      </w:r>
      <w:r w:rsidR="00394D00" w:rsidRPr="00E05844">
        <w:t>, заказчиком не представлено доказательств</w:t>
      </w:r>
      <w:r w:rsidR="00546378" w:rsidRPr="00E05844">
        <w:t>, подтверждающих наличие</w:t>
      </w:r>
      <w:r w:rsidR="00394D00" w:rsidRPr="00E05844">
        <w:t xml:space="preserve"> реагентов иных производителей, совместимых с анализатором, имеющимся у заказчика. </w:t>
      </w:r>
    </w:p>
    <w:p w:rsidR="00176842" w:rsidRPr="00E05844" w:rsidRDefault="00176842" w:rsidP="00D67011">
      <w:pPr>
        <w:ind w:firstLine="567"/>
        <w:jc w:val="both"/>
      </w:pPr>
      <w:r w:rsidRPr="00E05844">
        <w:t xml:space="preserve">Таким образом, </w:t>
      </w:r>
      <w:r w:rsidR="00D5724C" w:rsidRPr="00E05844">
        <w:t xml:space="preserve">по мнению Комиссии Новосибирского УФАС России, </w:t>
      </w:r>
      <w:r w:rsidR="004A2895" w:rsidRPr="00E05844">
        <w:t>в рамках данной закупки к поставке могут быть предложены только реагенты диагностические R1 IK 200609 производства «Т энд Д Инновационен ГмбХ», Германия, РУ № ФСЗ 2010/07074 от 04.06.2010</w:t>
      </w:r>
      <w:r w:rsidR="00D67011" w:rsidRPr="00E05844">
        <w:t>. Данный вывод также подтверждается информацией, содержащейся в первых частях заявок участников закупки (всеми участниками закупки к поставке были предложены реагенты диагностические R1 IK 200609</w:t>
      </w:r>
      <w:r w:rsidR="009212FA" w:rsidRPr="00E05844">
        <w:t>)</w:t>
      </w:r>
      <w:r w:rsidR="00D67011" w:rsidRPr="00E05844">
        <w:t>.</w:t>
      </w:r>
    </w:p>
    <w:p w:rsidR="00904501" w:rsidRPr="00E05844" w:rsidRDefault="009212FA" w:rsidP="006746EB">
      <w:pPr>
        <w:ind w:firstLine="567"/>
        <w:jc w:val="both"/>
      </w:pPr>
      <w:r w:rsidRPr="00E05844">
        <w:t>Вместе с тем, к</w:t>
      </w:r>
      <w:r w:rsidR="009D293D">
        <w:t xml:space="preserve">ак было указано выше, </w:t>
      </w:r>
      <w:r w:rsidR="00904501" w:rsidRPr="00E05844">
        <w:t>реагенты диагностические (in</w:t>
      </w:r>
      <w:r w:rsidR="00590A37" w:rsidRPr="00E05844">
        <w:t xml:space="preserve"> </w:t>
      </w:r>
      <w:r w:rsidR="00904501" w:rsidRPr="00E05844">
        <w:t>vitro) в наборах для химико-токсикологических исследований ве</w:t>
      </w:r>
      <w:r w:rsidR="00DB0992" w:rsidRPr="00E05844">
        <w:t xml:space="preserve">ществ, вызывающих интоксикацию и </w:t>
      </w:r>
      <w:r w:rsidR="00904501" w:rsidRPr="00E05844">
        <w:t>наркотическое опьянение</w:t>
      </w:r>
      <w:r w:rsidR="00DB0992" w:rsidRPr="00E05844">
        <w:t>, IK 200609</w:t>
      </w:r>
      <w:r w:rsidR="00904501" w:rsidRPr="00E05844">
        <w:t xml:space="preserve"> производства «Т энд Д Инновационен ГмбХ», Германия, РУ </w:t>
      </w:r>
      <w:r w:rsidR="006746EB" w:rsidRPr="00E05844">
        <w:t xml:space="preserve">№ ФСЗ 2010/07074 от 04.06.2010 </w:t>
      </w:r>
      <w:r w:rsidR="00904501" w:rsidRPr="00E05844">
        <w:t>не используются для определения синтетических каннабиноидов (спайсов): JWH, AM, MN, О, URВ, СР, HU, НС, А, АKB, JTE, PTS, STS, PN, адамантан.</w:t>
      </w:r>
    </w:p>
    <w:p w:rsidR="007D36B0" w:rsidRPr="00E05844" w:rsidRDefault="006746EB" w:rsidP="00C86104">
      <w:pPr>
        <w:ind w:firstLine="567"/>
        <w:jc w:val="both"/>
      </w:pPr>
      <w:r w:rsidRPr="00E05844">
        <w:t>Также с</w:t>
      </w:r>
      <w:r w:rsidR="00904501" w:rsidRPr="00E05844">
        <w:t>огласно письму ФГБУ «ВНИИИМТ» Росздравнадзора № 01-2571-20 от 21.04.2020 в комплекте регистрационного досье к РУ № ФСЗ 2010/07074 от 04.06.2010 «Реагенты диагностические (in</w:t>
      </w:r>
      <w:r w:rsidR="00590A37" w:rsidRPr="00E05844">
        <w:t xml:space="preserve"> </w:t>
      </w:r>
      <w:r w:rsidR="00904501" w:rsidRPr="00E05844">
        <w:t>vitro) в наборах для химико-токсикологических исследований ве</w:t>
      </w:r>
      <w:r w:rsidR="00DB0992" w:rsidRPr="00E05844">
        <w:t xml:space="preserve">ществ, вызывающих интоксикацию и </w:t>
      </w:r>
      <w:r w:rsidR="00904501" w:rsidRPr="00E05844">
        <w:t>наркотическое опьянение</w:t>
      </w:r>
      <w:r w:rsidR="00DB0992" w:rsidRPr="00E05844">
        <w:t>, IK 200609»</w:t>
      </w:r>
      <w:r w:rsidR="00904501" w:rsidRPr="00E05844">
        <w:t xml:space="preserve"> производства  «Т энд Д Инновационен Гмбх», Германия, содержатся протоколы технических испытаний, в которых имеются сведения о подтверждении определения веществ, вызывающих интоксикацию и наркотическое опьянение. </w:t>
      </w:r>
      <w:r w:rsidR="002D29DD" w:rsidRPr="00E05844">
        <w:t>Однако</w:t>
      </w:r>
      <w:r w:rsidR="00904501" w:rsidRPr="00E05844">
        <w:t xml:space="preserve"> в указанных протоколах отсутствуют сведения, подтверждающие определение синтетических аналогов каннабиноидов.</w:t>
      </w:r>
    </w:p>
    <w:p w:rsidR="009212FA" w:rsidRPr="00E05844" w:rsidRDefault="009212FA" w:rsidP="00AA4F5B">
      <w:pPr>
        <w:ind w:firstLine="567"/>
        <w:jc w:val="both"/>
      </w:pPr>
      <w:r w:rsidRPr="00E05844">
        <w:t xml:space="preserve">Таким образом, </w:t>
      </w:r>
      <w:r w:rsidR="00C86104" w:rsidRPr="00E05844">
        <w:t xml:space="preserve">описание объекта закупки содержит требование о поставке реагентов, которые фактические не отвечают всем </w:t>
      </w:r>
      <w:r w:rsidR="002E05B1" w:rsidRPr="00E05844">
        <w:t>установленным</w:t>
      </w:r>
      <w:r w:rsidR="00C86104" w:rsidRPr="00E05844">
        <w:t xml:space="preserve"> заказчик</w:t>
      </w:r>
      <w:r w:rsidR="002E05B1" w:rsidRPr="00E05844">
        <w:t>ом</w:t>
      </w:r>
      <w:r w:rsidR="00C86104" w:rsidRPr="00E05844">
        <w:t xml:space="preserve"> </w:t>
      </w:r>
      <w:r w:rsidR="002E05B1" w:rsidRPr="00E05844">
        <w:t>характеристикам</w:t>
      </w:r>
      <w:r w:rsidR="000A7C4B" w:rsidRPr="00E05844">
        <w:t xml:space="preserve">, а именно,  </w:t>
      </w:r>
      <w:r w:rsidR="002E05B1" w:rsidRPr="00E05844">
        <w:t>реагенты, совместимы</w:t>
      </w:r>
      <w:r w:rsidR="00C541C2" w:rsidRPr="00E05844">
        <w:t>е</w:t>
      </w:r>
      <w:r w:rsidR="002E05B1" w:rsidRPr="00E05844">
        <w:t xml:space="preserve"> с анал</w:t>
      </w:r>
      <w:r w:rsidR="00C541C2" w:rsidRPr="00E05844">
        <w:t xml:space="preserve">изатором, имеющимся у заказчика (диагностические реагенты R1 IK 200609), не могут быть использованы </w:t>
      </w:r>
      <w:r w:rsidR="000A7C4B" w:rsidRPr="00E05844">
        <w:t>для определения синтетических аналогов каннабиноидов</w:t>
      </w:r>
      <w:r w:rsidR="002C2A4C" w:rsidRPr="00E05844">
        <w:t xml:space="preserve"> (спайсов)</w:t>
      </w:r>
      <w:r w:rsidR="000A7C4B" w:rsidRPr="00E05844">
        <w:t>.</w:t>
      </w:r>
      <w:r w:rsidR="003026B8">
        <w:t xml:space="preserve"> Кроме того, сам анализатор также не может быть использован для указанных целей.</w:t>
      </w:r>
    </w:p>
    <w:p w:rsidR="004A2740" w:rsidRPr="00E05844" w:rsidRDefault="00C541C2" w:rsidP="00AA4F5B">
      <w:pPr>
        <w:ind w:firstLine="567"/>
        <w:jc w:val="both"/>
      </w:pPr>
      <w:r w:rsidRPr="00E05844">
        <w:t>На основании изложенного</w:t>
      </w:r>
      <w:r w:rsidR="00AA4F5B" w:rsidRPr="00E05844">
        <w:t>, Комиссия Новосибирского УФАС России считает, что описание объекта з</w:t>
      </w:r>
      <w:r w:rsidR="00FE1348" w:rsidRPr="00E05844">
        <w:t xml:space="preserve">акупки не соответствует требованиям </w:t>
      </w:r>
      <w:r w:rsidR="00A46327">
        <w:t xml:space="preserve">ч. 3 ст. 7, </w:t>
      </w:r>
      <w:r w:rsidR="00FE1348" w:rsidRPr="00E05844">
        <w:t>ст. 33 Закона о контрактной системе</w:t>
      </w:r>
      <w:r w:rsidR="00803253" w:rsidRPr="00E05844">
        <w:t>.</w:t>
      </w:r>
    </w:p>
    <w:p w:rsidR="00BF3D55" w:rsidRPr="00E05844" w:rsidRDefault="00DC2F77" w:rsidP="00803253">
      <w:pPr>
        <w:ind w:firstLine="567"/>
        <w:jc w:val="both"/>
        <w:rPr>
          <w:b/>
          <w:i/>
        </w:rPr>
      </w:pPr>
      <w:r w:rsidRPr="00E05844">
        <w:rPr>
          <w:b/>
          <w:i/>
        </w:rPr>
        <w:t>При проведении на основании п. 1 ч. 15 ст. 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заявок, иные нарушения законодательства Российской Федерации о контрактной системе</w:t>
      </w:r>
      <w:r w:rsidR="004A2740" w:rsidRPr="00E05844">
        <w:rPr>
          <w:b/>
          <w:i/>
        </w:rPr>
        <w:t xml:space="preserve"> не выявлены</w:t>
      </w:r>
      <w:r w:rsidRPr="00E05844">
        <w:rPr>
          <w:b/>
          <w:i/>
        </w:rPr>
        <w:t>.</w:t>
      </w:r>
    </w:p>
    <w:p w:rsidR="00D75A11" w:rsidRDefault="00D75A11" w:rsidP="00D75A11">
      <w:pPr>
        <w:spacing w:after="60"/>
        <w:ind w:firstLine="567"/>
        <w:jc w:val="both"/>
      </w:pPr>
      <w:r w:rsidRPr="00E05844">
        <w:t>Руководствуясь ч.</w:t>
      </w:r>
      <w:r w:rsidR="00EA6386" w:rsidRPr="00E05844">
        <w:t xml:space="preserve"> </w:t>
      </w:r>
      <w:r w:rsidRPr="00E05844">
        <w:t>8 ст.</w:t>
      </w:r>
      <w:r w:rsidR="00EA6386" w:rsidRPr="00E05844">
        <w:t xml:space="preserve"> </w:t>
      </w:r>
      <w:r w:rsidRPr="00E05844">
        <w:t>106, п.</w:t>
      </w:r>
      <w:r w:rsidR="00EA6386" w:rsidRPr="00E05844">
        <w:t xml:space="preserve"> </w:t>
      </w:r>
      <w:r w:rsidRPr="00E05844">
        <w:t>1 ч.</w:t>
      </w:r>
      <w:r w:rsidR="00EA6386" w:rsidRPr="00E05844">
        <w:t xml:space="preserve"> </w:t>
      </w:r>
      <w:r w:rsidRPr="00E05844">
        <w:t>1</w:t>
      </w:r>
      <w:r w:rsidR="000F6A6B" w:rsidRPr="00E05844">
        <w:t>5</w:t>
      </w:r>
      <w:r w:rsidR="00A913F7" w:rsidRPr="00E05844">
        <w:t>,</w:t>
      </w:r>
      <w:r w:rsidR="00DC2F77" w:rsidRPr="00E05844">
        <w:t xml:space="preserve"> п. 2 ч. 22</w:t>
      </w:r>
      <w:r w:rsidR="000F6A6B" w:rsidRPr="00E05844">
        <w:t xml:space="preserve"> </w:t>
      </w:r>
      <w:r w:rsidRPr="00E05844">
        <w:t>ст.</w:t>
      </w:r>
      <w:r w:rsidR="00EA6386" w:rsidRPr="00E05844">
        <w:t xml:space="preserve"> </w:t>
      </w:r>
      <w:r w:rsidRPr="00E05844">
        <w:t xml:space="preserve">99 Закона о контрактной системе, Комиссия Новосибирского УФАС России </w:t>
      </w:r>
    </w:p>
    <w:p w:rsidR="00642513" w:rsidRPr="00E05844" w:rsidRDefault="00642513" w:rsidP="00D75A11">
      <w:pPr>
        <w:spacing w:after="60"/>
        <w:ind w:firstLine="567"/>
        <w:jc w:val="both"/>
      </w:pPr>
    </w:p>
    <w:p w:rsidR="00263768" w:rsidRDefault="00D75A11" w:rsidP="00263768">
      <w:pPr>
        <w:widowControl w:val="0"/>
        <w:tabs>
          <w:tab w:val="left" w:pos="567"/>
        </w:tabs>
        <w:spacing w:after="100"/>
        <w:ind w:firstLine="567"/>
        <w:jc w:val="center"/>
        <w:rPr>
          <w:b/>
        </w:rPr>
      </w:pPr>
      <w:r w:rsidRPr="00E05844">
        <w:rPr>
          <w:b/>
        </w:rPr>
        <w:t>РЕШИЛА:</w:t>
      </w:r>
    </w:p>
    <w:p w:rsidR="00642513" w:rsidRPr="00E05844" w:rsidRDefault="00642513" w:rsidP="00263768">
      <w:pPr>
        <w:widowControl w:val="0"/>
        <w:tabs>
          <w:tab w:val="left" w:pos="567"/>
        </w:tabs>
        <w:spacing w:after="100"/>
        <w:ind w:firstLine="567"/>
        <w:jc w:val="center"/>
        <w:rPr>
          <w:b/>
        </w:rPr>
      </w:pPr>
    </w:p>
    <w:p w:rsidR="002F7C78" w:rsidRPr="00E05844" w:rsidRDefault="00394574" w:rsidP="00D943E6">
      <w:pPr>
        <w:ind w:firstLine="567"/>
        <w:jc w:val="both"/>
      </w:pPr>
      <w:r w:rsidRPr="00E05844">
        <w:t xml:space="preserve">1. </w:t>
      </w:r>
      <w:r w:rsidR="00D75A11" w:rsidRPr="00E05844">
        <w:t xml:space="preserve">Признать жалобу </w:t>
      </w:r>
      <w:r w:rsidR="00B1557F" w:rsidRPr="00E05844">
        <w:t>ООО «ЮТИМ» на действия заказчика - ГБУЗ НСО «Краснозерская ЦРБ» при проведении электронного аукциона № 0351300000621000009 на поставку реагентов диагностических-иммунохроматографических для о</w:t>
      </w:r>
      <w:r w:rsidR="00D943E6" w:rsidRPr="00E05844">
        <w:t>п</w:t>
      </w:r>
      <w:r w:rsidRPr="00E05844">
        <w:t>ределения наркотических веществ обоснованной.</w:t>
      </w:r>
    </w:p>
    <w:p w:rsidR="00394574" w:rsidRPr="00E05844" w:rsidRDefault="00394574" w:rsidP="00394574">
      <w:pPr>
        <w:ind w:firstLine="567"/>
        <w:jc w:val="both"/>
      </w:pPr>
      <w:r w:rsidRPr="00E05844">
        <w:lastRenderedPageBreak/>
        <w:t xml:space="preserve">2. Признать заказчика нарушившим </w:t>
      </w:r>
      <w:r w:rsidR="00A46327">
        <w:t xml:space="preserve">ч. 3 ст. 7, </w:t>
      </w:r>
      <w:r w:rsidR="002C2A4C" w:rsidRPr="00E05844">
        <w:t>ст. 33</w:t>
      </w:r>
      <w:r w:rsidRPr="00E05844">
        <w:t xml:space="preserve"> Закона о контрактной системе.</w:t>
      </w:r>
    </w:p>
    <w:p w:rsidR="00394574" w:rsidRPr="00E05844" w:rsidRDefault="004A2740" w:rsidP="00394574">
      <w:pPr>
        <w:ind w:firstLine="567"/>
        <w:jc w:val="both"/>
        <w:rPr>
          <w:color w:val="000000" w:themeColor="text1"/>
        </w:rPr>
      </w:pPr>
      <w:r w:rsidRPr="00E05844">
        <w:rPr>
          <w:bCs/>
          <w:color w:val="000000" w:themeColor="text1"/>
        </w:rPr>
        <w:t>3</w:t>
      </w:r>
      <w:r w:rsidR="00394574" w:rsidRPr="00E05844">
        <w:rPr>
          <w:bCs/>
          <w:color w:val="000000" w:themeColor="text1"/>
        </w:rPr>
        <w:t xml:space="preserve">. </w:t>
      </w:r>
      <w:r w:rsidR="00394574" w:rsidRPr="00E05844">
        <w:rPr>
          <w:color w:val="000000" w:themeColor="text1"/>
        </w:rPr>
        <w:t>Выдать заказчику предписание об устранении нарушен</w:t>
      </w:r>
      <w:r w:rsidR="00D648A5" w:rsidRPr="00E05844">
        <w:rPr>
          <w:color w:val="000000" w:themeColor="text1"/>
        </w:rPr>
        <w:t>ий Закона о контрактной системе с требованием об аннулирование определения поставщика.</w:t>
      </w:r>
    </w:p>
    <w:p w:rsidR="00394574" w:rsidRPr="00E05844" w:rsidRDefault="004A2740" w:rsidP="00394574">
      <w:pPr>
        <w:ind w:firstLine="567"/>
        <w:jc w:val="both"/>
        <w:rPr>
          <w:color w:val="000000" w:themeColor="text1"/>
        </w:rPr>
      </w:pPr>
      <w:r w:rsidRPr="00E05844">
        <w:rPr>
          <w:color w:val="000000" w:themeColor="text1"/>
        </w:rPr>
        <w:t>4</w:t>
      </w:r>
      <w:r w:rsidR="00394574" w:rsidRPr="00E05844">
        <w:rPr>
          <w:color w:val="000000" w:themeColor="text1"/>
        </w:rPr>
        <w:t>.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071E83" w:rsidRPr="00E05844" w:rsidRDefault="00071E83" w:rsidP="00263768">
      <w:pPr>
        <w:ind w:firstLine="567"/>
        <w:jc w:val="both"/>
      </w:pPr>
    </w:p>
    <w:p w:rsidR="002F7C78" w:rsidRPr="00E05844" w:rsidRDefault="00D75A11" w:rsidP="0026376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E05844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263768" w:rsidRPr="00E05844" w:rsidRDefault="00263768" w:rsidP="0026376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803253" w:rsidRPr="00E05844" w:rsidRDefault="00803253" w:rsidP="0080325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E05844">
        <w:rPr>
          <w:i/>
        </w:rPr>
        <w:tab/>
      </w:r>
    </w:p>
    <w:p w:rsidR="004E7F97" w:rsidRPr="00E05844" w:rsidRDefault="004E7F97" w:rsidP="0026376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C863B7" w:rsidRPr="00E05844" w:rsidRDefault="000F6A6B" w:rsidP="00D75A1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844">
        <w:rPr>
          <w:rFonts w:ascii="Times New Roman" w:hAnsi="Times New Roman" w:cs="Times New Roman"/>
          <w:sz w:val="24"/>
          <w:szCs w:val="24"/>
        </w:rPr>
        <w:t>П</w:t>
      </w:r>
      <w:r w:rsidR="00D75A11" w:rsidRPr="00E05844">
        <w:rPr>
          <w:rFonts w:ascii="Times New Roman" w:hAnsi="Times New Roman" w:cs="Times New Roman"/>
          <w:sz w:val="24"/>
          <w:szCs w:val="24"/>
        </w:rPr>
        <w:t>редседател</w:t>
      </w:r>
      <w:r w:rsidRPr="00E05844">
        <w:rPr>
          <w:rFonts w:ascii="Times New Roman" w:hAnsi="Times New Roman" w:cs="Times New Roman"/>
          <w:sz w:val="24"/>
          <w:szCs w:val="24"/>
        </w:rPr>
        <w:t>ь</w:t>
      </w:r>
      <w:r w:rsidR="00D75A11" w:rsidRPr="00E0584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="00D75A11" w:rsidRPr="00E05844">
        <w:rPr>
          <w:rFonts w:ascii="Times New Roman" w:hAnsi="Times New Roman" w:cs="Times New Roman"/>
          <w:sz w:val="24"/>
          <w:szCs w:val="24"/>
        </w:rPr>
        <w:tab/>
      </w:r>
      <w:r w:rsidRPr="00E05844">
        <w:rPr>
          <w:rFonts w:ascii="Times New Roman" w:hAnsi="Times New Roman" w:cs="Times New Roman"/>
          <w:sz w:val="24"/>
          <w:szCs w:val="24"/>
        </w:rPr>
        <w:tab/>
      </w:r>
      <w:r w:rsidR="00C863B7" w:rsidRPr="00E05844">
        <w:rPr>
          <w:rFonts w:ascii="Times New Roman" w:hAnsi="Times New Roman" w:cs="Times New Roman"/>
          <w:sz w:val="24"/>
          <w:szCs w:val="24"/>
        </w:rPr>
        <w:t xml:space="preserve"> </w:t>
      </w:r>
      <w:r w:rsidR="007917B0" w:rsidRPr="00E05844">
        <w:rPr>
          <w:rFonts w:ascii="Times New Roman" w:hAnsi="Times New Roman" w:cs="Times New Roman"/>
          <w:sz w:val="24"/>
          <w:szCs w:val="24"/>
        </w:rPr>
        <w:t xml:space="preserve">    </w:t>
      </w:r>
      <w:r w:rsidR="00D75A11" w:rsidRPr="00E05844">
        <w:rPr>
          <w:rFonts w:ascii="Times New Roman" w:hAnsi="Times New Roman" w:cs="Times New Roman"/>
          <w:sz w:val="24"/>
          <w:szCs w:val="24"/>
        </w:rPr>
        <w:t>А.</w:t>
      </w:r>
      <w:r w:rsidRPr="00E05844">
        <w:rPr>
          <w:rFonts w:ascii="Times New Roman" w:hAnsi="Times New Roman" w:cs="Times New Roman"/>
          <w:sz w:val="24"/>
          <w:szCs w:val="24"/>
        </w:rPr>
        <w:t>Г</w:t>
      </w:r>
      <w:r w:rsidR="00D75A11" w:rsidRPr="00E05844">
        <w:rPr>
          <w:rFonts w:ascii="Times New Roman" w:hAnsi="Times New Roman" w:cs="Times New Roman"/>
          <w:sz w:val="24"/>
          <w:szCs w:val="24"/>
        </w:rPr>
        <w:t xml:space="preserve">. </w:t>
      </w:r>
      <w:r w:rsidRPr="00E05844">
        <w:rPr>
          <w:rFonts w:ascii="Times New Roman" w:hAnsi="Times New Roman" w:cs="Times New Roman"/>
          <w:sz w:val="24"/>
          <w:szCs w:val="24"/>
        </w:rPr>
        <w:t>Швалов</w:t>
      </w:r>
    </w:p>
    <w:p w:rsidR="00263768" w:rsidRPr="00E05844" w:rsidRDefault="00263768" w:rsidP="00803253">
      <w:pPr>
        <w:pStyle w:val="ConsNormal"/>
        <w:tabs>
          <w:tab w:val="left" w:pos="0"/>
          <w:tab w:val="left" w:pos="843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E85" w:rsidRPr="00E05844" w:rsidRDefault="004A3E85" w:rsidP="00D75A1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253" w:rsidRDefault="00803253" w:rsidP="00D75A1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93D" w:rsidRPr="00E05844" w:rsidRDefault="009D293D" w:rsidP="00D75A1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A11" w:rsidRPr="00E05844" w:rsidRDefault="00D75A11" w:rsidP="00D75A1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A11" w:rsidRPr="00E05844" w:rsidRDefault="00D75A11" w:rsidP="00D75A11">
      <w:pPr>
        <w:tabs>
          <w:tab w:val="left" w:pos="0"/>
        </w:tabs>
      </w:pPr>
      <w:r w:rsidRPr="00E05844">
        <w:t>Члены Комиссии</w:t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="007917B0" w:rsidRPr="00E05844">
        <w:t xml:space="preserve">     </w:t>
      </w:r>
      <w:r w:rsidR="00B1557F" w:rsidRPr="00E05844">
        <w:t>А.В. Новосельцева</w:t>
      </w:r>
    </w:p>
    <w:p w:rsidR="00803253" w:rsidRPr="00E05844" w:rsidRDefault="00803253" w:rsidP="00D75A11">
      <w:pPr>
        <w:tabs>
          <w:tab w:val="left" w:pos="0"/>
        </w:tabs>
        <w:rPr>
          <w:i/>
        </w:rPr>
      </w:pPr>
    </w:p>
    <w:p w:rsidR="004A3E85" w:rsidRPr="00E05844" w:rsidRDefault="004A3E85" w:rsidP="00D75A11">
      <w:pPr>
        <w:tabs>
          <w:tab w:val="left" w:pos="0"/>
        </w:tabs>
        <w:rPr>
          <w:i/>
        </w:rPr>
      </w:pPr>
    </w:p>
    <w:p w:rsidR="00803253" w:rsidRDefault="00803253" w:rsidP="00D75A11">
      <w:pPr>
        <w:tabs>
          <w:tab w:val="left" w:pos="0"/>
        </w:tabs>
        <w:rPr>
          <w:i/>
        </w:rPr>
      </w:pPr>
    </w:p>
    <w:p w:rsidR="009D293D" w:rsidRPr="00E05844" w:rsidRDefault="009D293D" w:rsidP="00D75A11">
      <w:pPr>
        <w:tabs>
          <w:tab w:val="left" w:pos="0"/>
        </w:tabs>
        <w:rPr>
          <w:i/>
        </w:rPr>
      </w:pPr>
    </w:p>
    <w:p w:rsidR="004E7F97" w:rsidRPr="00E05844" w:rsidRDefault="004E7F97" w:rsidP="00D75A11">
      <w:pPr>
        <w:tabs>
          <w:tab w:val="left" w:pos="0"/>
        </w:tabs>
        <w:rPr>
          <w:i/>
        </w:rPr>
      </w:pPr>
    </w:p>
    <w:p w:rsidR="00D75A11" w:rsidRPr="00832CD9" w:rsidRDefault="00D75A11" w:rsidP="00D75A11"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Pr="00E05844">
        <w:tab/>
      </w:r>
      <w:r w:rsidR="004E7F97" w:rsidRPr="00E05844">
        <w:t xml:space="preserve">     </w:t>
      </w:r>
      <w:r w:rsidRPr="00E05844">
        <w:t>А.Е. Алышова</w:t>
      </w:r>
    </w:p>
    <w:sectPr w:rsidR="00D75A11" w:rsidRPr="00832CD9" w:rsidSect="00BC03E4">
      <w:headerReference w:type="even" r:id="rId8"/>
      <w:footerReference w:type="default" r:id="rId9"/>
      <w:footerReference w:type="first" r:id="rId10"/>
      <w:pgSz w:w="11909" w:h="16834"/>
      <w:pgMar w:top="995" w:right="852" w:bottom="709" w:left="993" w:header="720" w:footer="552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E7" w:rsidRDefault="00D908E7">
      <w:r>
        <w:separator/>
      </w:r>
    </w:p>
  </w:endnote>
  <w:endnote w:type="continuationSeparator" w:id="1">
    <w:p w:rsidR="00D908E7" w:rsidRDefault="00D9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77"/>
      <w:docPartObj>
        <w:docPartGallery w:val="Page Numbers (Bottom of Page)"/>
        <w:docPartUnique/>
      </w:docPartObj>
    </w:sdtPr>
    <w:sdtContent>
      <w:p w:rsidR="002E05B1" w:rsidRDefault="00806F23">
        <w:pPr>
          <w:pStyle w:val="a5"/>
          <w:jc w:val="right"/>
        </w:pPr>
        <w:fldSimple w:instr=" PAGE   \* MERGEFORMAT ">
          <w:r w:rsidR="00862A24">
            <w:rPr>
              <w:noProof/>
            </w:rPr>
            <w:t>6</w:t>
          </w:r>
        </w:fldSimple>
      </w:p>
    </w:sdtContent>
  </w:sdt>
  <w:p w:rsidR="002E05B1" w:rsidRDefault="002E05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76"/>
      <w:docPartObj>
        <w:docPartGallery w:val="Page Numbers (Bottom of Page)"/>
        <w:docPartUnique/>
      </w:docPartObj>
    </w:sdtPr>
    <w:sdtContent>
      <w:p w:rsidR="002E05B1" w:rsidRDefault="00806F23">
        <w:pPr>
          <w:pStyle w:val="a5"/>
          <w:jc w:val="right"/>
        </w:pPr>
        <w:fldSimple w:instr=" PAGE   \* MERGEFORMAT ">
          <w:r w:rsidR="00862A24">
            <w:rPr>
              <w:noProof/>
            </w:rPr>
            <w:t>1</w:t>
          </w:r>
        </w:fldSimple>
      </w:p>
    </w:sdtContent>
  </w:sdt>
  <w:p w:rsidR="002E05B1" w:rsidRDefault="002E0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E7" w:rsidRDefault="00D908E7">
      <w:r>
        <w:separator/>
      </w:r>
    </w:p>
  </w:footnote>
  <w:footnote w:type="continuationSeparator" w:id="1">
    <w:p w:rsidR="00D908E7" w:rsidRDefault="00D9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B1" w:rsidRDefault="00806F23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05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05B1" w:rsidRDefault="002E05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63D7"/>
    <w:multiLevelType w:val="multilevel"/>
    <w:tmpl w:val="D1320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1">
    <w:nsid w:val="70AB3083"/>
    <w:multiLevelType w:val="multilevel"/>
    <w:tmpl w:val="9F96B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4F1C"/>
    <w:rsid w:val="00025405"/>
    <w:rsid w:val="00025800"/>
    <w:rsid w:val="00025985"/>
    <w:rsid w:val="00025AAE"/>
    <w:rsid w:val="00025FA5"/>
    <w:rsid w:val="0002681C"/>
    <w:rsid w:val="00026F20"/>
    <w:rsid w:val="00027255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1E83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25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4A2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B0B"/>
    <w:rsid w:val="00091D51"/>
    <w:rsid w:val="00091EB4"/>
    <w:rsid w:val="00091ECC"/>
    <w:rsid w:val="000922AC"/>
    <w:rsid w:val="00092532"/>
    <w:rsid w:val="00092A1D"/>
    <w:rsid w:val="00092ABE"/>
    <w:rsid w:val="00092B78"/>
    <w:rsid w:val="00092DBC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69C"/>
    <w:rsid w:val="00096D71"/>
    <w:rsid w:val="000A010E"/>
    <w:rsid w:val="000A04CC"/>
    <w:rsid w:val="000A0582"/>
    <w:rsid w:val="000A1009"/>
    <w:rsid w:val="000A1640"/>
    <w:rsid w:val="000A2761"/>
    <w:rsid w:val="000A2A84"/>
    <w:rsid w:val="000A2F8B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A7C4B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5FD1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A6B"/>
    <w:rsid w:val="000F6CE3"/>
    <w:rsid w:val="000F75F8"/>
    <w:rsid w:val="00100594"/>
    <w:rsid w:val="00100680"/>
    <w:rsid w:val="001006AF"/>
    <w:rsid w:val="00100CE6"/>
    <w:rsid w:val="00101620"/>
    <w:rsid w:val="00101821"/>
    <w:rsid w:val="0010184D"/>
    <w:rsid w:val="00101A5C"/>
    <w:rsid w:val="00101C1D"/>
    <w:rsid w:val="00102370"/>
    <w:rsid w:val="0010242B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07CE2"/>
    <w:rsid w:val="001114F3"/>
    <w:rsid w:val="00111BAC"/>
    <w:rsid w:val="00111DCD"/>
    <w:rsid w:val="00112114"/>
    <w:rsid w:val="0011231D"/>
    <w:rsid w:val="001127B8"/>
    <w:rsid w:val="001130C1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7A6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17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5A5"/>
    <w:rsid w:val="00152CFE"/>
    <w:rsid w:val="00153245"/>
    <w:rsid w:val="00153582"/>
    <w:rsid w:val="001541D0"/>
    <w:rsid w:val="0015439B"/>
    <w:rsid w:val="001545B8"/>
    <w:rsid w:val="00155187"/>
    <w:rsid w:val="00155439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0A51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24F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67B12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842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2D90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5B7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113"/>
    <w:rsid w:val="001A620B"/>
    <w:rsid w:val="001A6231"/>
    <w:rsid w:val="001A64DA"/>
    <w:rsid w:val="001A6B68"/>
    <w:rsid w:val="001A6C28"/>
    <w:rsid w:val="001A6D16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3F73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5F55"/>
    <w:rsid w:val="001B61E8"/>
    <w:rsid w:val="001B6346"/>
    <w:rsid w:val="001B6AA3"/>
    <w:rsid w:val="001B6BBE"/>
    <w:rsid w:val="001B7068"/>
    <w:rsid w:val="001B7329"/>
    <w:rsid w:val="001B7A4E"/>
    <w:rsid w:val="001C0150"/>
    <w:rsid w:val="001C0346"/>
    <w:rsid w:val="001C0C4F"/>
    <w:rsid w:val="001C0F8A"/>
    <w:rsid w:val="001C1E9E"/>
    <w:rsid w:val="001C28B2"/>
    <w:rsid w:val="001C2D30"/>
    <w:rsid w:val="001C2F57"/>
    <w:rsid w:val="001C4203"/>
    <w:rsid w:val="001C427F"/>
    <w:rsid w:val="001C4669"/>
    <w:rsid w:val="001C472D"/>
    <w:rsid w:val="001C4807"/>
    <w:rsid w:val="001C49C0"/>
    <w:rsid w:val="001C4C5D"/>
    <w:rsid w:val="001C4C94"/>
    <w:rsid w:val="001C4FE7"/>
    <w:rsid w:val="001C5475"/>
    <w:rsid w:val="001C567D"/>
    <w:rsid w:val="001C5A85"/>
    <w:rsid w:val="001C655B"/>
    <w:rsid w:val="001C69E3"/>
    <w:rsid w:val="001C6E2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CAC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1B7F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0A49"/>
    <w:rsid w:val="00212371"/>
    <w:rsid w:val="002123B5"/>
    <w:rsid w:val="00212D3A"/>
    <w:rsid w:val="00212E02"/>
    <w:rsid w:val="00213599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5F0C"/>
    <w:rsid w:val="0022606A"/>
    <w:rsid w:val="00226496"/>
    <w:rsid w:val="00226B3B"/>
    <w:rsid w:val="00227934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3DC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E7A"/>
    <w:rsid w:val="00254F2F"/>
    <w:rsid w:val="00255202"/>
    <w:rsid w:val="00255511"/>
    <w:rsid w:val="00255985"/>
    <w:rsid w:val="002559AF"/>
    <w:rsid w:val="00255A8E"/>
    <w:rsid w:val="00255B1E"/>
    <w:rsid w:val="00256161"/>
    <w:rsid w:val="00256608"/>
    <w:rsid w:val="00256657"/>
    <w:rsid w:val="00256EFE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768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61E"/>
    <w:rsid w:val="00281C63"/>
    <w:rsid w:val="00281E2E"/>
    <w:rsid w:val="00281FA6"/>
    <w:rsid w:val="00281FC2"/>
    <w:rsid w:val="00282ADC"/>
    <w:rsid w:val="00283337"/>
    <w:rsid w:val="00283933"/>
    <w:rsid w:val="00283984"/>
    <w:rsid w:val="00283DB3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A16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5C0A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067"/>
    <w:rsid w:val="002C1371"/>
    <w:rsid w:val="002C1791"/>
    <w:rsid w:val="002C1CBF"/>
    <w:rsid w:val="002C2529"/>
    <w:rsid w:val="002C26BA"/>
    <w:rsid w:val="002C2700"/>
    <w:rsid w:val="002C2A4C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8B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9DD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6E6B"/>
    <w:rsid w:val="002D7464"/>
    <w:rsid w:val="002D7AAC"/>
    <w:rsid w:val="002E017A"/>
    <w:rsid w:val="002E04AB"/>
    <w:rsid w:val="002E05B1"/>
    <w:rsid w:val="002E0A48"/>
    <w:rsid w:val="002E0A56"/>
    <w:rsid w:val="002E1106"/>
    <w:rsid w:val="002E1582"/>
    <w:rsid w:val="002E1600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2F7C78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6B8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109"/>
    <w:rsid w:val="00307230"/>
    <w:rsid w:val="00307980"/>
    <w:rsid w:val="00307AFE"/>
    <w:rsid w:val="00307B78"/>
    <w:rsid w:val="00307C63"/>
    <w:rsid w:val="00310653"/>
    <w:rsid w:val="00310659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055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0BC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B1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62E"/>
    <w:rsid w:val="003536CF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B47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2FF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574"/>
    <w:rsid w:val="00394C09"/>
    <w:rsid w:val="00394D00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0EF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0C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5F19"/>
    <w:rsid w:val="003E6127"/>
    <w:rsid w:val="003E7232"/>
    <w:rsid w:val="003E7CF1"/>
    <w:rsid w:val="003F040F"/>
    <w:rsid w:val="003F0E76"/>
    <w:rsid w:val="003F102D"/>
    <w:rsid w:val="003F14DB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1BB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974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7BF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4DE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740"/>
    <w:rsid w:val="004A2895"/>
    <w:rsid w:val="004A36F2"/>
    <w:rsid w:val="004A3981"/>
    <w:rsid w:val="004A3E85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0A6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3D5"/>
    <w:rsid w:val="004C3C1D"/>
    <w:rsid w:val="004C3C26"/>
    <w:rsid w:val="004C45EF"/>
    <w:rsid w:val="004C47D8"/>
    <w:rsid w:val="004C4D99"/>
    <w:rsid w:val="004C5567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2E0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2F2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97"/>
    <w:rsid w:val="004E7FDA"/>
    <w:rsid w:val="004F01FC"/>
    <w:rsid w:val="004F0511"/>
    <w:rsid w:val="004F07B6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8A2"/>
    <w:rsid w:val="004F79C4"/>
    <w:rsid w:val="004F7B75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B75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6CA1"/>
    <w:rsid w:val="005274E2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78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181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6F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5C15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A37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52B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235A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2FDB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8F7"/>
    <w:rsid w:val="00620A5F"/>
    <w:rsid w:val="00620D2C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07FE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2513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7BF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51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1EE5"/>
    <w:rsid w:val="00662853"/>
    <w:rsid w:val="0066321B"/>
    <w:rsid w:val="006636EC"/>
    <w:rsid w:val="006637C5"/>
    <w:rsid w:val="00663A75"/>
    <w:rsid w:val="00664065"/>
    <w:rsid w:val="00664104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6EB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5A4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2B0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0D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919"/>
    <w:rsid w:val="006F2A52"/>
    <w:rsid w:val="006F30C6"/>
    <w:rsid w:val="006F30DB"/>
    <w:rsid w:val="006F36E2"/>
    <w:rsid w:val="006F3AB1"/>
    <w:rsid w:val="006F3AD2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24E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2D8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1AC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4901"/>
    <w:rsid w:val="00745584"/>
    <w:rsid w:val="007458AF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543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664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6A59"/>
    <w:rsid w:val="0077738C"/>
    <w:rsid w:val="0077787B"/>
    <w:rsid w:val="007778D7"/>
    <w:rsid w:val="00777B50"/>
    <w:rsid w:val="00777BD9"/>
    <w:rsid w:val="00777E25"/>
    <w:rsid w:val="00780028"/>
    <w:rsid w:val="00780629"/>
    <w:rsid w:val="00780DE1"/>
    <w:rsid w:val="00781021"/>
    <w:rsid w:val="007815E5"/>
    <w:rsid w:val="00781868"/>
    <w:rsid w:val="00781A62"/>
    <w:rsid w:val="00781AD3"/>
    <w:rsid w:val="00781D20"/>
    <w:rsid w:val="0078240C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82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17B0"/>
    <w:rsid w:val="00792095"/>
    <w:rsid w:val="00792242"/>
    <w:rsid w:val="00792A8B"/>
    <w:rsid w:val="007937F2"/>
    <w:rsid w:val="00793921"/>
    <w:rsid w:val="0079396F"/>
    <w:rsid w:val="0079398A"/>
    <w:rsid w:val="007943A9"/>
    <w:rsid w:val="00794974"/>
    <w:rsid w:val="00794A77"/>
    <w:rsid w:val="00795654"/>
    <w:rsid w:val="00795912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442"/>
    <w:rsid w:val="007B1C82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65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1CE0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4EE"/>
    <w:rsid w:val="007D36B0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3CE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253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6F23"/>
    <w:rsid w:val="0080769F"/>
    <w:rsid w:val="00807825"/>
    <w:rsid w:val="00807D1C"/>
    <w:rsid w:val="00810908"/>
    <w:rsid w:val="008109B9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DB2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489"/>
    <w:rsid w:val="00830F79"/>
    <w:rsid w:val="00831555"/>
    <w:rsid w:val="00831BDC"/>
    <w:rsid w:val="00831DD1"/>
    <w:rsid w:val="00832278"/>
    <w:rsid w:val="008324E1"/>
    <w:rsid w:val="00832B09"/>
    <w:rsid w:val="00832CD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2BE6"/>
    <w:rsid w:val="00843051"/>
    <w:rsid w:val="0084345B"/>
    <w:rsid w:val="0084473A"/>
    <w:rsid w:val="008448E7"/>
    <w:rsid w:val="00844D2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24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6806"/>
    <w:rsid w:val="008677B1"/>
    <w:rsid w:val="008677F6"/>
    <w:rsid w:val="00867825"/>
    <w:rsid w:val="00867856"/>
    <w:rsid w:val="00867872"/>
    <w:rsid w:val="0087041C"/>
    <w:rsid w:val="0087050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0A62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6CD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26B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5E4B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976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1DF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1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2FA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68C9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0D2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1D5B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9E9"/>
    <w:rsid w:val="00945F70"/>
    <w:rsid w:val="00946158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4614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5DC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690A"/>
    <w:rsid w:val="009A72BC"/>
    <w:rsid w:val="009A7574"/>
    <w:rsid w:val="009A76C7"/>
    <w:rsid w:val="009A7750"/>
    <w:rsid w:val="009A7DE0"/>
    <w:rsid w:val="009A7F5E"/>
    <w:rsid w:val="009A7F85"/>
    <w:rsid w:val="009A7F98"/>
    <w:rsid w:val="009B059E"/>
    <w:rsid w:val="009B13EC"/>
    <w:rsid w:val="009B15B4"/>
    <w:rsid w:val="009B1A48"/>
    <w:rsid w:val="009B1BB8"/>
    <w:rsid w:val="009B1C5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2FCE"/>
    <w:rsid w:val="009C3362"/>
    <w:rsid w:val="009C3B6F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293D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7E2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58CA"/>
    <w:rsid w:val="009E622E"/>
    <w:rsid w:val="009E6B71"/>
    <w:rsid w:val="009E71C5"/>
    <w:rsid w:val="009E7422"/>
    <w:rsid w:val="009F000C"/>
    <w:rsid w:val="009F023A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4FB5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46327"/>
    <w:rsid w:val="00A504D3"/>
    <w:rsid w:val="00A50B11"/>
    <w:rsid w:val="00A50FE9"/>
    <w:rsid w:val="00A51016"/>
    <w:rsid w:val="00A51B1B"/>
    <w:rsid w:val="00A521A9"/>
    <w:rsid w:val="00A527FF"/>
    <w:rsid w:val="00A54134"/>
    <w:rsid w:val="00A54362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49BA"/>
    <w:rsid w:val="00A7564C"/>
    <w:rsid w:val="00A75B9A"/>
    <w:rsid w:val="00A77153"/>
    <w:rsid w:val="00A77175"/>
    <w:rsid w:val="00A776AC"/>
    <w:rsid w:val="00A778BD"/>
    <w:rsid w:val="00A779B5"/>
    <w:rsid w:val="00A77C6F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053B"/>
    <w:rsid w:val="00A913F7"/>
    <w:rsid w:val="00A915D0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CC1"/>
    <w:rsid w:val="00A95ECE"/>
    <w:rsid w:val="00A95FD0"/>
    <w:rsid w:val="00A96867"/>
    <w:rsid w:val="00A96995"/>
    <w:rsid w:val="00A96D4B"/>
    <w:rsid w:val="00A97C8B"/>
    <w:rsid w:val="00AA04FD"/>
    <w:rsid w:val="00AA0516"/>
    <w:rsid w:val="00AA13B5"/>
    <w:rsid w:val="00AA16F3"/>
    <w:rsid w:val="00AA1D01"/>
    <w:rsid w:val="00AA264D"/>
    <w:rsid w:val="00AA2FB6"/>
    <w:rsid w:val="00AA3E88"/>
    <w:rsid w:val="00AA4592"/>
    <w:rsid w:val="00AA4B98"/>
    <w:rsid w:val="00AA4F5B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33F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51E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5B7B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480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0E1"/>
    <w:rsid w:val="00B11634"/>
    <w:rsid w:val="00B117B7"/>
    <w:rsid w:val="00B11EE2"/>
    <w:rsid w:val="00B12543"/>
    <w:rsid w:val="00B126CA"/>
    <w:rsid w:val="00B12819"/>
    <w:rsid w:val="00B12CE9"/>
    <w:rsid w:val="00B13166"/>
    <w:rsid w:val="00B132B9"/>
    <w:rsid w:val="00B1407D"/>
    <w:rsid w:val="00B1484B"/>
    <w:rsid w:val="00B14C12"/>
    <w:rsid w:val="00B153EB"/>
    <w:rsid w:val="00B1557F"/>
    <w:rsid w:val="00B158ED"/>
    <w:rsid w:val="00B15D92"/>
    <w:rsid w:val="00B15DCD"/>
    <w:rsid w:val="00B1660F"/>
    <w:rsid w:val="00B16AC9"/>
    <w:rsid w:val="00B16B32"/>
    <w:rsid w:val="00B16C04"/>
    <w:rsid w:val="00B16F19"/>
    <w:rsid w:val="00B17025"/>
    <w:rsid w:val="00B17340"/>
    <w:rsid w:val="00B20589"/>
    <w:rsid w:val="00B212CC"/>
    <w:rsid w:val="00B2173B"/>
    <w:rsid w:val="00B21AC5"/>
    <w:rsid w:val="00B21FF5"/>
    <w:rsid w:val="00B22694"/>
    <w:rsid w:val="00B22B29"/>
    <w:rsid w:val="00B22D14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26B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7E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DF2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9A5"/>
    <w:rsid w:val="00B85C64"/>
    <w:rsid w:val="00B866A7"/>
    <w:rsid w:val="00B86A59"/>
    <w:rsid w:val="00B86C5C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61A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693B"/>
    <w:rsid w:val="00BB7418"/>
    <w:rsid w:val="00BB749A"/>
    <w:rsid w:val="00BB78D2"/>
    <w:rsid w:val="00BC03E4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092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D7C0D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6D8F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55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94A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DE4"/>
    <w:rsid w:val="00C10F36"/>
    <w:rsid w:val="00C11483"/>
    <w:rsid w:val="00C115A8"/>
    <w:rsid w:val="00C11CA5"/>
    <w:rsid w:val="00C1211F"/>
    <w:rsid w:val="00C12657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D83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727"/>
    <w:rsid w:val="00C36E5F"/>
    <w:rsid w:val="00C36FBE"/>
    <w:rsid w:val="00C372CB"/>
    <w:rsid w:val="00C37A18"/>
    <w:rsid w:val="00C401AE"/>
    <w:rsid w:val="00C402E5"/>
    <w:rsid w:val="00C4077A"/>
    <w:rsid w:val="00C40AC5"/>
    <w:rsid w:val="00C40ACD"/>
    <w:rsid w:val="00C40C09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1C2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57F71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778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361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04"/>
    <w:rsid w:val="00C86138"/>
    <w:rsid w:val="00C86379"/>
    <w:rsid w:val="00C863B7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678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4D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2FE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08D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C3A"/>
    <w:rsid w:val="00D24DB3"/>
    <w:rsid w:val="00D25ACF"/>
    <w:rsid w:val="00D25F0C"/>
    <w:rsid w:val="00D268B9"/>
    <w:rsid w:val="00D26D32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8BF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602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3F8B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24C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8A5"/>
    <w:rsid w:val="00D649CD"/>
    <w:rsid w:val="00D64E53"/>
    <w:rsid w:val="00D65095"/>
    <w:rsid w:val="00D65D55"/>
    <w:rsid w:val="00D6666F"/>
    <w:rsid w:val="00D67011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625"/>
    <w:rsid w:val="00D72735"/>
    <w:rsid w:val="00D728CB"/>
    <w:rsid w:val="00D72E01"/>
    <w:rsid w:val="00D72FD7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5A11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8E7"/>
    <w:rsid w:val="00D90BDA"/>
    <w:rsid w:val="00D90F26"/>
    <w:rsid w:val="00D924B0"/>
    <w:rsid w:val="00D92536"/>
    <w:rsid w:val="00D92754"/>
    <w:rsid w:val="00D92802"/>
    <w:rsid w:val="00D92952"/>
    <w:rsid w:val="00D931FB"/>
    <w:rsid w:val="00D932BA"/>
    <w:rsid w:val="00D943E6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992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B7EAB"/>
    <w:rsid w:val="00DC00EA"/>
    <w:rsid w:val="00DC00FE"/>
    <w:rsid w:val="00DC2C7D"/>
    <w:rsid w:val="00DC2E60"/>
    <w:rsid w:val="00DC2F77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46D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0FE4"/>
    <w:rsid w:val="00DF14CB"/>
    <w:rsid w:val="00DF15C7"/>
    <w:rsid w:val="00DF16D6"/>
    <w:rsid w:val="00DF181B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5F18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5844"/>
    <w:rsid w:val="00E063EB"/>
    <w:rsid w:val="00E064BC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A15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77A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3E4C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2B59"/>
    <w:rsid w:val="00E73AF5"/>
    <w:rsid w:val="00E73C85"/>
    <w:rsid w:val="00E73D01"/>
    <w:rsid w:val="00E744F9"/>
    <w:rsid w:val="00E7472D"/>
    <w:rsid w:val="00E74ABA"/>
    <w:rsid w:val="00E74C85"/>
    <w:rsid w:val="00E74D9E"/>
    <w:rsid w:val="00E74E78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257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86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A1"/>
    <w:rsid w:val="00EB20B2"/>
    <w:rsid w:val="00EB21EA"/>
    <w:rsid w:val="00EB2277"/>
    <w:rsid w:val="00EB22B4"/>
    <w:rsid w:val="00EB3296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64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59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CD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638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D34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29F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9BE"/>
    <w:rsid w:val="00FA4AC7"/>
    <w:rsid w:val="00FA4D94"/>
    <w:rsid w:val="00FA5445"/>
    <w:rsid w:val="00FA54D2"/>
    <w:rsid w:val="00FA5548"/>
    <w:rsid w:val="00FA55D3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29"/>
    <w:rsid w:val="00FA77CA"/>
    <w:rsid w:val="00FA7E86"/>
    <w:rsid w:val="00FB01F7"/>
    <w:rsid w:val="00FB0598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040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3E6B"/>
    <w:rsid w:val="00FC4316"/>
    <w:rsid w:val="00FC4905"/>
    <w:rsid w:val="00FC4977"/>
    <w:rsid w:val="00FC4B39"/>
    <w:rsid w:val="00FC4BC4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1D4F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0C1B"/>
    <w:rsid w:val="00FE1294"/>
    <w:rsid w:val="00FE1348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198B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29">
    <w:name w:val="Основной текст (2) + Не полужирный"/>
    <w:basedOn w:val="26"/>
    <w:rsid w:val="00D72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EA63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F3C6-7B91-4C4F-B98B-7C753103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39</cp:revision>
  <cp:lastPrinted>2021-02-12T08:28:00Z</cp:lastPrinted>
  <dcterms:created xsi:type="dcterms:W3CDTF">2020-12-07T08:21:00Z</dcterms:created>
  <dcterms:modified xsi:type="dcterms:W3CDTF">2021-02-12T08:55:00Z</dcterms:modified>
</cp:coreProperties>
</file>