
<file path=[Content_Types].xml><?xml version="1.0" encoding="utf-8"?>
<Types xmlns="http://schemas.openxmlformats.org/package/2006/content-types">
  <Default Extension="rels" ContentType="application/vnd.openxmlformats-package.relationships+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numbering.xml" ContentType="application/vnd.openxmlformats-officedocument.wordprocessingml.numbering+xml"/>
</Types>
</file>

<file path=_rels/.rels>&#65279;<?xml version="1.0" encoding="utf-8"?><Relationships xmlns="http://schemas.openxmlformats.org/package/2006/relationships"><Relationship Id="R1DB1DDD6" Type="http://schemas.openxmlformats.org/officeDocument/2006/relationships/officeDocument" Target="/word/document.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ody>
    <w:p>
      <w:pPr>
        <w:spacing w:lineRule="auto" w:line="235" w:after="0" w:beforeAutospacing="0" w:afterAutospacing="0"/>
        <w:ind w:firstLine="709"/>
        <w:contextualSpacing w:val="1"/>
        <w:jc w:val="center"/>
        <w:rPr>
          <w:rFonts w:ascii="Times New Roman" w:hAnsi="Times New Roman"/>
          <w:sz w:val="28"/>
          <w:lang w:eastAsia="ru-RU"/>
        </w:rPr>
      </w:pPr>
      <w:r>
        <w:rPr>
          <w:rFonts w:ascii="Times New Roman" w:hAnsi="Times New Roman"/>
          <w:sz w:val="28"/>
          <w:lang w:eastAsia="ru-RU"/>
        </w:rPr>
        <w:t>РЕШЕНИЕ</w:t>
      </w:r>
    </w:p>
    <w:p>
      <w:pPr>
        <w:spacing w:lineRule="auto" w:line="264" w:after="0" w:beforeAutospacing="0" w:afterAutospacing="0"/>
        <w:ind w:firstLine="709"/>
        <w:contextualSpacing w:val="1"/>
        <w:jc w:val="center"/>
        <w:rPr>
          <w:rFonts w:ascii="Times New Roman" w:hAnsi="Times New Roman"/>
          <w:sz w:val="28"/>
          <w:lang w:eastAsia="ru-RU"/>
        </w:rPr>
      </w:pPr>
      <w:r>
        <w:rPr>
          <w:rFonts w:ascii="Times New Roman" w:hAnsi="Times New Roman"/>
          <w:sz w:val="28"/>
          <w:lang w:eastAsia="ru-RU"/>
        </w:rPr>
        <w:t>по делу № 21/44/105/98</w:t>
      </w:r>
    </w:p>
    <w:p>
      <w:pPr>
        <w:spacing w:lineRule="auto" w:line="264" w:after="0" w:beforeAutospacing="0" w:afterAutospacing="0"/>
        <w:ind w:firstLine="709"/>
        <w:contextualSpacing w:val="1"/>
        <w:jc w:val="center"/>
        <w:rPr>
          <w:rFonts w:ascii="Times New Roman" w:hAnsi="Times New Roman"/>
          <w:sz w:val="28"/>
          <w:lang w:eastAsia="ru-RU"/>
        </w:rPr>
      </w:pPr>
      <w:r>
        <w:rPr>
          <w:rFonts w:ascii="Times New Roman" w:hAnsi="Times New Roman"/>
          <w:sz w:val="28"/>
          <w:lang w:eastAsia="ru-RU"/>
        </w:rPr>
        <w:t xml:space="preserve">о нарушении законодательства Российской Федерации </w:t>
      </w:r>
    </w:p>
    <w:p>
      <w:pPr>
        <w:spacing w:lineRule="auto" w:line="264" w:after="0" w:beforeAutospacing="0" w:afterAutospacing="0"/>
        <w:ind w:firstLine="709"/>
        <w:contextualSpacing w:val="1"/>
        <w:jc w:val="center"/>
        <w:rPr>
          <w:rFonts w:ascii="Times New Roman" w:hAnsi="Times New Roman"/>
          <w:sz w:val="28"/>
          <w:lang w:eastAsia="ru-RU"/>
        </w:rPr>
      </w:pPr>
      <w:r>
        <w:rPr>
          <w:rFonts w:ascii="Times New Roman" w:hAnsi="Times New Roman"/>
          <w:sz w:val="28"/>
          <w:lang w:eastAsia="ru-RU"/>
        </w:rPr>
        <w:t>о контрактной системе в сфере закупок</w:t>
      </w:r>
    </w:p>
    <w:tbl>
      <w:tblPr>
        <w:tblW w:w="10065" w:type="dxa"/>
        <w:tblCellSpacing w:w="0" w:type="dxa"/>
        <w:tblCellMar>
          <w:left w:w="0" w:type="dxa"/>
          <w:right w:w="0" w:type="dxa"/>
        </w:tblCellMar>
        <w:tblLook w:val="04A0"/>
      </w:tblPr>
      <w:tblGrid/>
      <w:tr>
        <w:trPr>
          <w:trHeight w:hRule="atLeast" w:val="520"/>
          <w:tblCellSpacing w:w="0" w:type="dxa"/>
        </w:trPr>
        <w:tc>
          <w:tcPr>
            <w:tcW w:w="10065" w:type="dxa"/>
            <w:hideMark/>
          </w:tcPr>
          <w:p>
            <w:pPr>
              <w:spacing w:lineRule="auto" w:line="264" w:after="0" w:beforeAutospacing="0" w:afterAutospacing="0"/>
              <w:contextualSpacing w:val="1"/>
              <w:jc w:val="both"/>
              <w:rPr>
                <w:rFonts w:ascii="Times New Roman" w:hAnsi="Times New Roman"/>
                <w:sz w:val="28"/>
                <w:lang w:eastAsia="ru-RU"/>
              </w:rPr>
            </w:pPr>
            <w:r>
              <w:rPr>
                <w:rFonts w:ascii="Times New Roman" w:hAnsi="Times New Roman"/>
                <w:sz w:val="28"/>
                <w:lang w:eastAsia="ru-RU"/>
              </w:rPr>
              <w:t>08.</w:t>
            </w:r>
            <w:r>
              <w:rPr>
                <w:rFonts w:ascii="Times New Roman" w:hAnsi="Times New Roman"/>
                <w:sz w:val="28"/>
                <w:lang w:val="en-US" w:eastAsia="ru-RU"/>
              </w:rPr>
              <w:t>0</w:t>
            </w:r>
            <w:r>
              <w:rPr>
                <w:rFonts w:ascii="Times New Roman" w:hAnsi="Times New Roman"/>
                <w:sz w:val="28"/>
                <w:lang w:eastAsia="ru-RU"/>
              </w:rPr>
              <w:t>2.202</w:t>
            </w:r>
            <w:r>
              <w:rPr>
                <w:rFonts w:ascii="Times New Roman" w:hAnsi="Times New Roman"/>
                <w:sz w:val="28"/>
                <w:lang w:val="en-US" w:eastAsia="ru-RU"/>
              </w:rPr>
              <w:t>1</w:t>
            </w:r>
            <w:r>
              <w:rPr>
                <w:rFonts w:ascii="Times New Roman" w:hAnsi="Times New Roman"/>
                <w:sz w:val="28"/>
                <w:lang w:eastAsia="ru-RU"/>
              </w:rPr>
              <w:t xml:space="preserve">                                                                                                                   Москва</w:t>
            </w:r>
          </w:p>
        </w:tc>
      </w:tr>
    </w:tbl>
    <w:p>
      <w:pPr>
        <w:widowControl w:val="0"/>
        <w:tabs>
          <w:tab w:val="left" w:pos="709" w:leader="none"/>
        </w:tabs>
        <w:spacing w:lineRule="exact" w:line="360" w:after="0" w:beforeAutospacing="0" w:afterAutospacing="0"/>
        <w:ind w:firstLine="709"/>
        <w:contextualSpacing w:val="1"/>
        <w:jc w:val="both"/>
        <w:rPr>
          <w:rFonts w:ascii="Times New Roman" w:hAnsi="Times New Roman"/>
          <w:sz w:val="28"/>
          <w:lang w:eastAsia="ru-RU"/>
        </w:rPr>
      </w:pPr>
      <w:r>
        <w:rPr>
          <w:rFonts w:ascii="Times New Roman" w:hAnsi="Times New Roman"/>
          <w:sz w:val="28"/>
          <w:lang w:eastAsia="ru-RU"/>
        </w:rPr>
        <w:t xml:space="preserve">Комиссия Федеральной антимонопольной службы по контролю в сфере закупок (далее – Комиссия) </w:t>
      </w:r>
      <w:r>
        <w:rPr>
          <w:rFonts w:ascii="Times New Roman" w:hAnsi="Times New Roman"/>
          <w:sz w:val="28"/>
          <w:lang w:eastAsia="ru-RU"/>
        </w:rPr>
        <w:t xml:space="preserve">рассмотрев посредством видео-конференц-связи жалобу                                            </w:t>
      </w:r>
      <w:r>
        <w:rPr>
          <w:rFonts w:ascii="Times New Roman" w:hAnsi="Times New Roman"/>
          <w:color w:val="000000"/>
          <w:sz w:val="28"/>
          <w:lang w:eastAsia="ru-RU"/>
        </w:rPr>
        <w:t>АО «Специализированный застройщик «ТУС»</w:t>
      </w:r>
      <w:r>
        <w:rPr>
          <w:rFonts w:ascii="Times New Roman" w:hAnsi="Times New Roman"/>
          <w:sz w:val="28"/>
          <w:lang w:eastAsia="ru-RU"/>
        </w:rPr>
        <w:t xml:space="preserve"> (далее – Заявитель) на действия  </w:t>
      </w:r>
      <w:r>
        <w:rPr>
          <w:rFonts w:ascii="Times New Roman" w:hAnsi="Times New Roman"/>
          <w:color w:val="000000"/>
          <w:sz w:val="28"/>
        </w:rPr>
        <w:t>МКУ «УКС</w:t>
      </w:r>
      <w:r>
        <w:rPr>
          <w:rFonts w:ascii="Times New Roman" w:hAnsi="Times New Roman"/>
          <w:color w:val="000000"/>
          <w:sz w:val="28"/>
          <w:lang w:eastAsia="ru-RU"/>
        </w:rPr>
        <w:t xml:space="preserve"> </w:t>
      </w:r>
      <w:r>
        <w:rPr>
          <w:rFonts w:ascii="Times New Roman" w:hAnsi="Times New Roman"/>
          <w:color w:val="000000"/>
          <w:sz w:val="28"/>
        </w:rPr>
        <w:t>Б</w:t>
      </w:r>
      <w:r>
        <w:rPr>
          <w:rFonts w:ascii="Times New Roman" w:hAnsi="Times New Roman"/>
          <w:color w:val="000000"/>
          <w:sz w:val="28"/>
          <w:lang w:eastAsia="ru-RU"/>
        </w:rPr>
        <w:t xml:space="preserve">огородского муниципального района </w:t>
      </w:r>
      <w:r>
        <w:rPr>
          <w:rFonts w:ascii="Times New Roman" w:hAnsi="Times New Roman"/>
          <w:color w:val="000000"/>
          <w:sz w:val="28"/>
        </w:rPr>
        <w:t>Н</w:t>
      </w:r>
      <w:r>
        <w:rPr>
          <w:rFonts w:ascii="Times New Roman" w:hAnsi="Times New Roman"/>
          <w:color w:val="000000"/>
          <w:sz w:val="28"/>
          <w:lang w:eastAsia="ru-RU"/>
        </w:rPr>
        <w:t>ижегородской области</w:t>
      </w:r>
      <w:r>
        <w:rPr>
          <w:rFonts w:ascii="Times New Roman" w:hAnsi="Times New Roman"/>
          <w:color w:val="000000"/>
          <w:sz w:val="28"/>
        </w:rPr>
        <w:t>»</w:t>
      </w:r>
      <w:r>
        <w:rPr>
          <w:rFonts w:ascii="Times New Roman" w:hAnsi="Times New Roman"/>
          <w:sz w:val="28"/>
          <w:lang w:eastAsia="ar-SA"/>
        </w:rPr>
        <w:t xml:space="preserve">               (далее – Заказчик)</w:t>
      </w:r>
      <w:r>
        <w:rPr>
          <w:rFonts w:ascii="Times New Roman" w:hAnsi="Times New Roman"/>
          <w:color w:val="000000"/>
          <w:sz w:val="28"/>
          <w:lang w:eastAsia="ru-RU"/>
        </w:rPr>
        <w:t xml:space="preserve"> </w:t>
      </w:r>
      <w:r>
        <w:rPr>
          <w:rFonts w:ascii="Times New Roman" w:hAnsi="Times New Roman"/>
          <w:sz w:val="28"/>
          <w:lang w:eastAsia="ar-SA"/>
        </w:rPr>
        <w:t xml:space="preserve">при проведении </w:t>
      </w:r>
      <w:r>
        <w:rPr>
          <w:rFonts w:ascii="Times New Roman" w:hAnsi="Times New Roman"/>
          <w:color w:val="000000"/>
          <w:sz w:val="28"/>
          <w:lang w:eastAsia="ru-RU"/>
        </w:rPr>
        <w:t>Заказчиком,</w:t>
      </w:r>
      <w:r>
        <w:rPr>
          <w:rStyle w:val="C10"/>
          <w:rFonts w:ascii="Times New Roman" w:hAnsi="Times New Roman"/>
          <w:sz w:val="28"/>
        </w:rPr>
        <w:t xml:space="preserve"> </w:t>
      </w:r>
      <w:r>
        <w:rPr>
          <w:rFonts w:ascii="Times New Roman" w:hAnsi="Times New Roman"/>
          <w:color w:val="000000"/>
          <w:sz w:val="28"/>
          <w:lang w:eastAsia="ru-RU"/>
        </w:rPr>
        <w:t>АО «ЕЭТП</w:t>
      </w:r>
      <w:r>
        <w:rPr>
          <w:rFonts w:ascii="Times New Roman" w:hAnsi="Times New Roman"/>
          <w:sz w:val="28"/>
        </w:rPr>
        <w:t>»</w:t>
      </w:r>
      <w:r>
        <w:rPr>
          <w:rFonts w:ascii="Times New Roman" w:hAnsi="Times New Roman"/>
          <w:sz w:val="28"/>
          <w:lang w:eastAsia="ar-SA"/>
        </w:rPr>
        <w:t xml:space="preserve"> (далее – Оператор электронной площадки) </w:t>
      </w:r>
      <w:r>
        <w:rPr>
          <w:rFonts w:ascii="Times New Roman" w:hAnsi="Times New Roman"/>
          <w:sz w:val="28"/>
        </w:rPr>
        <w:t xml:space="preserve">открытого конкурса в электронной форме на проведение работ по строительству, реконструкции, капитальному ремонту, сносу объекта капитального строительства, предусматривающих проектную документацию или экономически эффективную проектную документацию повторного использования, или смету на капитальный ремонт объекта капитального строительства, утвержденную в порядке, установленном законодательством о градостроительной деятельности на право заключения государственного контракта на </w:t>
      </w:r>
      <w:r>
        <w:rPr>
          <w:rFonts w:ascii="Times New Roman" w:hAnsi="Times New Roman"/>
          <w:sz w:val="28"/>
          <w:shd w:val="clear" w:fill="FFFFFF"/>
        </w:rPr>
        <w:t xml:space="preserve">выполнение работ по </w:t>
      </w:r>
      <w:r>
        <w:rPr>
          <w:rStyle w:val="C10"/>
          <w:rFonts w:ascii="Times New Roman" w:hAnsi="Times New Roman"/>
          <w:sz w:val="28"/>
        </w:rPr>
        <w:t>«Проекту развития централизованной системы водоотведения города Богородска и  Богородского муниципального района Нижегородской области. 1 этап - Реконструкция очистных сооружений г. Богородска производительностью 15 000 м3/сут.»</w:t>
      </w:r>
      <w:r>
        <w:rPr>
          <w:rFonts w:ascii="Times New Roman" w:hAnsi="Times New Roman"/>
          <w:noProof w:val="1"/>
          <w:sz w:val="28"/>
        </w:rPr>
        <w:t xml:space="preserve"> (номер извещения</w:t>
      </w:r>
      <w:r>
        <w:rPr>
          <w:rFonts w:ascii="Times New Roman" w:hAnsi="Times New Roman"/>
          <w:sz w:val="28"/>
        </w:rPr>
        <w:t xml:space="preserve"> </w:t>
      </w:r>
      <w:r>
        <w:rPr>
          <w:rFonts w:ascii="Times New Roman" w:hAnsi="Times New Roman"/>
          <w:noProof w:val="1"/>
          <w:sz w:val="28"/>
        </w:rPr>
        <w:t>в единой информационной системе в сфере закупок www.zakupki.gov.ru (далее – ЕИС) –</w:t>
      </w:r>
      <w:r>
        <w:rPr>
          <w:rFonts w:ascii="Times New Roman" w:hAnsi="Times New Roman"/>
          <w:sz w:val="28"/>
        </w:rPr>
        <w:t xml:space="preserve"> </w:t>
      </w:r>
      <w:r>
        <w:rPr>
          <w:rFonts w:ascii="Times New Roman" w:hAnsi="Times New Roman"/>
          <w:sz w:val="28"/>
          <w:shd w:val="clear" w:fill="FFFFFF"/>
        </w:rPr>
        <w:t>0332300220720000203</w:t>
      </w:r>
      <w:r>
        <w:rPr>
          <w:rFonts w:ascii="Times New Roman" w:hAnsi="Times New Roman"/>
          <w:noProof w:val="1"/>
          <w:sz w:val="28"/>
        </w:rPr>
        <w:t>) (далее – Конкурс</w:t>
      </w:r>
      <w:r>
        <w:rPr>
          <w:rFonts w:ascii="Times New Roman" w:hAnsi="Times New Roman"/>
          <w:sz w:val="28"/>
          <w:lang w:eastAsia="ru-RU"/>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widowControl w:val="0"/>
        <w:spacing w:lineRule="exact" w:line="340" w:after="0" w:beforeAutospacing="0" w:afterAutospacing="0"/>
        <w:ind w:firstLine="709"/>
        <w:contextualSpacing w:val="1"/>
        <w:jc w:val="both"/>
        <w:rPr>
          <w:rFonts w:ascii="Times New Roman" w:hAnsi="Times New Roman"/>
          <w:sz w:val="28"/>
          <w:lang w:eastAsia="ru-RU"/>
        </w:rPr>
      </w:pPr>
    </w:p>
    <w:p>
      <w:pPr>
        <w:spacing w:lineRule="exact" w:line="340" w:after="0" w:beforeAutospacing="0" w:afterAutospacing="0"/>
        <w:contextualSpacing w:val="1"/>
        <w:jc w:val="center"/>
        <w:rPr>
          <w:rFonts w:ascii="Times New Roman" w:hAnsi="Times New Roman"/>
          <w:sz w:val="28"/>
          <w:lang w:eastAsia="ru-RU"/>
        </w:rPr>
      </w:pPr>
      <w:r>
        <w:rPr>
          <w:rFonts w:ascii="Times New Roman" w:hAnsi="Times New Roman"/>
          <w:sz w:val="28"/>
          <w:lang w:eastAsia="ru-RU"/>
        </w:rPr>
        <w:t>УСТАНОВИЛА:</w:t>
      </w:r>
    </w:p>
    <w:p>
      <w:pPr>
        <w:spacing w:lineRule="exact" w:line="340" w:after="0" w:beforeAutospacing="0" w:afterAutospacing="0"/>
        <w:ind w:firstLine="709"/>
        <w:contextualSpacing w:val="1"/>
        <w:jc w:val="center"/>
        <w:rPr>
          <w:rFonts w:ascii="Times New Roman" w:hAnsi="Times New Roman"/>
          <w:sz w:val="28"/>
          <w:lang w:eastAsia="ru-RU"/>
        </w:rPr>
      </w:pPr>
    </w:p>
    <w:p>
      <w:pPr>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В Федеральную антимонопольную службу поступила жалоба Заявителя                         на действия Заказчика при проведении Заказчиком, Оператором электронной площадки Конкурса.</w:t>
      </w:r>
    </w:p>
    <w:p>
      <w:pPr>
        <w:spacing w:lineRule="exact" w:line="340" w:after="0" w:beforeAutospacing="0" w:afterAutospacing="0"/>
        <w:ind w:firstLine="709"/>
        <w:jc w:val="both"/>
        <w:rPr>
          <w:rFonts w:ascii="Times New Roman" w:hAnsi="Times New Roman"/>
          <w:sz w:val="28"/>
          <w:lang w:eastAsia="ru-RU"/>
        </w:rPr>
      </w:pPr>
      <w:r>
        <w:rPr>
          <w:rFonts w:ascii="Times New Roman" w:hAnsi="Times New Roman"/>
          <w:sz w:val="28"/>
        </w:rPr>
        <w:t>По мнению Заявителя, его права и законные интересы нарушены действиями Заказчика, ненадлежащим образом установившего в Конкурсной документации порядок оценки заявок участников закупки по показателям «</w:t>
      </w:r>
      <w:r>
        <w:rPr>
          <w:rFonts w:ascii="Times New Roman" w:hAnsi="Times New Roman"/>
          <w:color w:val="000000"/>
          <w:sz w:val="28"/>
          <w:lang w:eastAsia="ru-RU"/>
        </w:rPr>
        <w:t>Общая стоимость исполненных контрактов (договоров)</w:t>
      </w:r>
      <w:r>
        <w:rPr>
          <w:rFonts w:ascii="Times New Roman" w:hAnsi="Times New Roman"/>
          <w:sz w:val="28"/>
        </w:rPr>
        <w:t>» (далее – Показатель № 1), «</w:t>
      </w:r>
      <w:r>
        <w:rPr>
          <w:rFonts w:ascii="Times New Roman" w:hAnsi="Times New Roman"/>
          <w:color w:val="000000"/>
          <w:sz w:val="28"/>
          <w:lang w:eastAsia="ru-RU"/>
        </w:rPr>
        <w:t>Наибольшая цена одного из исполненных контрактов/договоров</w:t>
      </w:r>
      <w:r>
        <w:rPr>
          <w:rFonts w:ascii="Times New Roman" w:hAnsi="Times New Roman"/>
          <w:sz w:val="28"/>
        </w:rPr>
        <w:t>» (далее – Показатель № 2) критерия «Квалификация участника закупки, в том числе наличие у него финансовых ресурсов, наличие на праве собственности или ином законном основании оборудования и других материальных ресурсов, опыта работы, связанного с предметом, и деловой репутации, специалистов и иных работников определенного уровня квалификации» (далее – Критерий № 1).</w:t>
      </w:r>
    </w:p>
    <w:p>
      <w:pPr>
        <w:spacing w:lineRule="exact" w:line="340" w:after="0" w:beforeAutospacing="0" w:afterAutospacing="0"/>
        <w:ind w:firstLine="709"/>
        <w:jc w:val="both"/>
        <w:rPr>
          <w:rFonts w:ascii="Times New Roman" w:hAnsi="Times New Roman"/>
          <w:sz w:val="28"/>
        </w:rPr>
      </w:pPr>
      <w:r>
        <w:rPr>
          <w:rFonts w:ascii="Times New Roman" w:hAnsi="Times New Roman"/>
          <w:sz w:val="28"/>
        </w:rPr>
        <w:t>Представитель Заказчика на заседании Комиссии не согласился с доводом Заявителя и сообщил, что при проведении Конкурса Заказчик действовал в соответствии с положениями Закона о контрактной системе.</w:t>
      </w:r>
    </w:p>
    <w:p>
      <w:pPr>
        <w:tabs>
          <w:tab w:val="left" w:pos="851"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В ходе рассмотрения жалобы Заявителя на действия Заказчика 04.02.2021 Комиссией в целях полного и всестороннего рассмотрения жалобы в заседании Комиссии объявлен перерыв в соответствии с пунктом 3.32 Административного регламента, заседание продолжилось 08.02.2021.</w:t>
      </w:r>
    </w:p>
    <w:p>
      <w:pPr>
        <w:spacing w:lineRule="exact" w:line="340" w:after="0" w:beforeAutospacing="0" w:afterAutospacing="0"/>
        <w:ind w:firstLine="709"/>
        <w:contextualSpacing w:val="1"/>
        <w:jc w:val="both"/>
        <w:rPr>
          <w:rFonts w:ascii="Times New Roman" w:hAnsi="Times New Roman"/>
          <w:sz w:val="28"/>
          <w:lang w:eastAsia="ru-RU"/>
        </w:rPr>
      </w:pPr>
      <w:r>
        <w:rPr>
          <w:rFonts w:ascii="Times New Roman" w:hAnsi="Times New Roman"/>
          <w:sz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pPr>
        <w:tabs>
          <w:tab w:val="left" w:pos="993" w:leader="none"/>
        </w:tabs>
        <w:spacing w:lineRule="exact" w:line="340" w:after="0" w:beforeAutospacing="0" w:afterAutospacing="0"/>
        <w:ind w:firstLine="709"/>
        <w:contextualSpacing w:val="1"/>
        <w:jc w:val="both"/>
        <w:rPr>
          <w:rFonts w:ascii="Times New Roman" w:hAnsi="Times New Roman"/>
          <w:sz w:val="28"/>
          <w:lang w:eastAsia="ru-RU"/>
        </w:rPr>
      </w:pPr>
      <w:r>
        <w:rPr>
          <w:rFonts w:ascii="Times New Roman" w:hAnsi="Times New Roman"/>
          <w:sz w:val="28"/>
          <w:lang w:eastAsia="ru-RU"/>
        </w:rPr>
        <w:t>В соответствии с извещением о проведении Конкурса, протоколами, составленными при осуществлении закупки:</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rPr>
        <w:t>извещение об осуществлении закупки размещено в ЕИС – 07.12.2020</w:t>
      </w:r>
      <w:r>
        <w:rPr>
          <w:rFonts w:ascii="Times New Roman" w:hAnsi="Times New Roman"/>
          <w:sz w:val="28"/>
          <w:lang w:eastAsia="ru-RU"/>
        </w:rPr>
        <w:t>;</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rPr>
        <w:t xml:space="preserve">начальная (максимальная) цена контракта – </w:t>
      </w:r>
      <w:r>
        <w:rPr>
          <w:rFonts w:ascii="Times New Roman" w:hAnsi="Times New Roman"/>
          <w:sz w:val="28"/>
          <w:shd w:val="clear" w:fill="FFFFFF"/>
        </w:rPr>
        <w:t xml:space="preserve">1 258 557 940 </w:t>
      </w:r>
      <w:r>
        <w:rPr>
          <w:rFonts w:ascii="Times New Roman" w:hAnsi="Times New Roman"/>
          <w:sz w:val="28"/>
        </w:rPr>
        <w:t>рублей</w:t>
      </w:r>
      <w:r>
        <w:rPr>
          <w:rFonts w:ascii="Times New Roman" w:hAnsi="Times New Roman"/>
          <w:sz w:val="28"/>
          <w:lang w:eastAsia="ru-RU"/>
        </w:rPr>
        <w:t>;</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lang w:eastAsia="ru-RU"/>
        </w:rPr>
        <w:t>способ определения поставщика (подрядчика, исполнителя) – Конкурс;</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rPr>
        <w:t>источник финансирования – бюджет Богородского муниципального района Нижегородской области, КБК - 4870602115G65013A414</w:t>
      </w:r>
      <w:r>
        <w:rPr>
          <w:rFonts w:ascii="Times New Roman" w:hAnsi="Times New Roman"/>
          <w:sz w:val="28"/>
          <w:lang w:eastAsia="ru-RU"/>
        </w:rPr>
        <w:t>;</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shd w:val="clear" w:fill="FFFFFF"/>
        </w:rPr>
        <w:t xml:space="preserve">дата и время окончания срока подачи заявок на участие в Конкурсе </w:t>
      </w:r>
      <w:r>
        <w:rPr>
          <w:rFonts w:ascii="Times New Roman" w:hAnsi="Times New Roman"/>
          <w:sz w:val="28"/>
        </w:rPr>
        <w:t>– 01.02.2021;</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rPr>
        <w:t>на участие в Конкурсе подано 11 заявок от участников закупки;</w:t>
      </w:r>
    </w:p>
    <w:p>
      <w:pPr>
        <w:pStyle w:val="P3"/>
        <w:numPr>
          <w:ilvl w:val="0"/>
          <w:numId w:val="27"/>
        </w:numPr>
        <w:tabs>
          <w:tab w:val="left" w:pos="993" w:leader="none"/>
        </w:tabs>
        <w:spacing w:lineRule="exact" w:line="340" w:after="0" w:beforeAutospacing="0" w:afterAutospacing="0"/>
        <w:ind w:firstLine="709" w:left="0"/>
        <w:jc w:val="both"/>
        <w:rPr>
          <w:rFonts w:ascii="Times New Roman" w:hAnsi="Times New Roman"/>
          <w:sz w:val="28"/>
          <w:lang w:eastAsia="ru-RU"/>
        </w:rPr>
      </w:pPr>
      <w:r>
        <w:rPr>
          <w:rFonts w:ascii="Times New Roman" w:hAnsi="Times New Roman"/>
          <w:sz w:val="28"/>
        </w:rPr>
        <w:t>дата подведения итогов Конкурса – 08.02.2021.</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1. Согласно доводу Заявителя,</w:t>
      </w:r>
      <w:bookmarkStart w:id="0" w:name="_GoBack"/>
      <w:bookmarkEnd w:id="0"/>
      <w:r>
        <w:rPr>
          <w:rFonts w:ascii="Times New Roman" w:hAnsi="Times New Roman"/>
          <w:sz w:val="28"/>
        </w:rPr>
        <w:t xml:space="preserve"> Заказчиком в Конкурсной документации ненадлежащим образом установлен порядок оценки заявок участников закупки по Показателям №№ 1, 2 Критерия № 1.</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В соответствии с пунктом 8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Законом о контрактной системе.</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Согласно части 6 статьи 54.7 Закона о контрактной системе конкурсная комиссия осуществляет оценку вторых частей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В соответствии с частью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В соответствии с пунктом 10 Правил в документации о закупке в отношении нестоимостных критериев оценки могут быть предусмотрены показатели, раскрывающие содержание нестоимостных критериев оценки и учитывающие особенности оценки закупаемых товаров, работ, услуг по нестоимостным критериям оценки.</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Конкурсной документацией установлен следующий порядок оценки заявок:</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1) Стоимостной критерий – 60 %; Коэффициент значимости равен 0,6;</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2) Критерий № 1 – 40 %; Коэффициент значимости равен 0,4. </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Согласно Конкурсной документации Критерий № 1 содержит              Показатель № 1, в рамках которого оценивается общая стоимость исполненных в качестве генерального подрядчика контрактов/договоров на выполнение работ по строительству и реконструкции объектов капитального строительства                                   (за исключением линейных объектов), заключенные в соответствии с Законом о контрактной системе и/или Федеральным законом от 08.07.2011 № 223-ФЗ                          «О закупках товаров, работ, услуг отдельными видами юридических лиц»               (далее – Закон о закупках) и Показатель № 2, в рамках которого оценивается наибольшая цена одного из исполненных в качестве генерального подрядчика контрактов/договоров на выполнение работ по строительству и реконструкции объектов капитального строительства (за исключением линейных объектов), заключенные в соответствии с Законом о контрактной системе и/или Законом о закупках.</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Представитель Заявителя на заседании Комиссии пояснил, что Заказчиком ненадлежащим образом установлен порядок оценки по Показателям №№ 1, 2 Критерия № 1, поскольку в рамках указанных показателей оценке </w:t>
      </w:r>
      <w:r>
        <w:rPr>
          <w:rFonts w:ascii="Times New Roman" w:hAnsi="Times New Roman"/>
          <w:sz w:val="28"/>
          <w:lang w:eastAsia="ru-RU"/>
        </w:rPr>
        <w:t xml:space="preserve">не подлежат </w:t>
      </w:r>
      <w:r>
        <w:rPr>
          <w:rFonts w:ascii="Times New Roman" w:hAnsi="Times New Roman"/>
          <w:sz w:val="28"/>
        </w:rPr>
        <w:t xml:space="preserve">исполненные контракты по капитальному ремонту объектов капитального строительства, а также не подлежат гражданско-правовые договоры, что, по мнению Заявителя, ограничивает количество участников закупки. </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На заседании Комиссии представитель Заказчика пояснил, что вышеуказанные требования к порядку оценки, установленные в Конкурсной документации, не противоречат требованиям Закона о контрактной системе и Правил. </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При этом на заседании Комиссии представитель Заявителя не представил документы и сведения, свидетельствующие об обратном. </w:t>
      </w:r>
    </w:p>
    <w:p>
      <w:pPr>
        <w:tabs>
          <w:tab w:val="left" w:pos="993" w:leader="none"/>
        </w:tabs>
        <w:spacing w:lineRule="exact" w:line="340" w:after="0" w:beforeAutospacing="0" w:afterAutospacing="0"/>
        <w:ind w:firstLine="709"/>
        <w:jc w:val="both"/>
        <w:rPr>
          <w:rFonts w:ascii="Times New Roman" w:hAnsi="Times New Roman"/>
          <w:sz w:val="28"/>
        </w:rPr>
      </w:pPr>
      <w:r>
        <w:rPr>
          <w:rFonts w:ascii="Times New Roman" w:hAnsi="Times New Roman"/>
          <w:sz w:val="28"/>
        </w:rPr>
        <w:t>Таким образом, довод Заявителя не нашел своего подтверждения.</w:t>
      </w:r>
    </w:p>
    <w:p>
      <w:pPr>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2. </w:t>
      </w:r>
      <w:r>
        <w:rPr>
          <w:rFonts w:ascii="Times New Roman" w:hAnsi="Times New Roman"/>
          <w:color w:val="000000"/>
          <w:sz w:val="28"/>
        </w:rPr>
        <w:t>Решением Комиссии ФАС России</w:t>
      </w:r>
      <w:r>
        <w:rPr>
          <w:rFonts w:ascii="Times New Roman" w:hAnsi="Times New Roman"/>
          <w:sz w:val="28"/>
        </w:rPr>
        <w:t xml:space="preserve"> от 22.01.2021 по делу № 21/44/105/55 (далее – Решение)</w:t>
      </w:r>
      <w:r>
        <w:rPr>
          <w:rFonts w:ascii="Times New Roman" w:hAnsi="Times New Roman"/>
          <w:color w:val="000000"/>
          <w:sz w:val="28"/>
        </w:rPr>
        <w:t xml:space="preserve"> в действиях Заказчика выявлены следующие нарушения</w:t>
      </w:r>
      <w:r>
        <w:rPr>
          <w:rFonts w:ascii="Times New Roman" w:hAnsi="Times New Roman"/>
          <w:sz w:val="28"/>
        </w:rPr>
        <w:t xml:space="preserve">: </w:t>
      </w:r>
    </w:p>
    <w:p>
      <w:pPr>
        <w:spacing w:lineRule="exact" w:line="340" w:after="0" w:beforeAutospacing="0" w:afterAutospacing="0"/>
        <w:ind w:firstLine="709"/>
        <w:jc w:val="both"/>
        <w:rPr>
          <w:rFonts w:ascii="Times New Roman" w:hAnsi="Times New Roman"/>
          <w:sz w:val="28"/>
        </w:rPr>
      </w:pPr>
      <w:r>
        <w:rPr>
          <w:rFonts w:ascii="Times New Roman" w:hAnsi="Times New Roman"/>
          <w:sz w:val="28"/>
        </w:rPr>
        <w:t xml:space="preserve">- </w:t>
      </w:r>
      <w:r>
        <w:rPr>
          <w:rFonts w:ascii="Times New Roman" w:hAnsi="Times New Roman"/>
          <w:color w:val="000000"/>
          <w:sz w:val="28"/>
        </w:rPr>
        <w:t xml:space="preserve">части </w:t>
      </w:r>
      <w:r>
        <w:rPr>
          <w:rFonts w:ascii="Times New Roman" w:hAnsi="Times New Roman"/>
          <w:sz w:val="28"/>
        </w:rPr>
        <w:t>1 статьи 34 Закона о контрактной системе</w:t>
      </w:r>
      <w:r>
        <w:rPr>
          <w:rFonts w:ascii="Times New Roman" w:hAnsi="Times New Roman"/>
          <w:color w:val="000000"/>
          <w:sz w:val="28"/>
        </w:rPr>
        <w:t xml:space="preserve">, выразившееся в </w:t>
      </w:r>
      <w:r>
        <w:rPr>
          <w:rFonts w:ascii="Times New Roman" w:hAnsi="Times New Roman"/>
          <w:sz w:val="28"/>
        </w:rPr>
        <w:t>установлении в Конкурсной документации ненадлежащего требования о предоставлении поставщиком (подрядчиком, исполнителем) финансового отчета о понесенных расходах и подтверждающих эти затраты копий первичных бухгалтерских документов;</w:t>
      </w:r>
    </w:p>
    <w:p>
      <w:pPr>
        <w:spacing w:lineRule="exact" w:line="340" w:after="0" w:beforeAutospacing="0" w:afterAutospacing="0"/>
        <w:ind w:firstLine="709"/>
        <w:jc w:val="both"/>
        <w:rPr>
          <w:rFonts w:ascii="Times New Roman" w:hAnsi="Times New Roman"/>
          <w:sz w:val="28"/>
        </w:rPr>
      </w:pPr>
      <w:r>
        <w:rPr>
          <w:rFonts w:ascii="Times New Roman" w:hAnsi="Times New Roman"/>
          <w:sz w:val="28"/>
        </w:rPr>
        <w:t>- пункта 1 части 13 статьи 34 Закона о контрактной системе</w:t>
      </w:r>
      <w:r>
        <w:rPr>
          <w:rFonts w:ascii="Times New Roman" w:hAnsi="Times New Roman"/>
          <w:color w:val="000000"/>
          <w:sz w:val="28"/>
        </w:rPr>
        <w:t xml:space="preserve">, выразившееся в </w:t>
      </w:r>
      <w:r>
        <w:rPr>
          <w:rFonts w:ascii="Times New Roman" w:hAnsi="Times New Roman"/>
          <w:sz w:val="28"/>
        </w:rPr>
        <w:t>установлении в Конкурсной документации ненадлежащим образом порядка предоставления Заказчиком аванса;</w:t>
      </w:r>
    </w:p>
    <w:p>
      <w:pPr>
        <w:spacing w:lineRule="exact" w:line="330" w:after="0" w:beforeAutospacing="0" w:afterAutospacing="0"/>
        <w:ind w:firstLine="709"/>
        <w:jc w:val="both"/>
        <w:rPr>
          <w:rFonts w:ascii="Times New Roman" w:hAnsi="Times New Roman"/>
          <w:color w:val="000000"/>
          <w:sz w:val="28"/>
        </w:rPr>
      </w:pPr>
      <w:r>
        <w:rPr>
          <w:rFonts w:ascii="Times New Roman" w:hAnsi="Times New Roman"/>
          <w:sz w:val="28"/>
        </w:rPr>
        <w:t>- частей 23, 24 статьи 34 Закона о контрактной системе</w:t>
      </w:r>
      <w:r>
        <w:rPr>
          <w:rFonts w:ascii="Times New Roman" w:hAnsi="Times New Roman"/>
          <w:color w:val="000000"/>
          <w:sz w:val="28"/>
        </w:rPr>
        <w:t xml:space="preserve">, выразившееся в </w:t>
      </w:r>
      <w:r>
        <w:rPr>
          <w:rFonts w:ascii="Times New Roman" w:hAnsi="Times New Roman"/>
          <w:sz w:val="28"/>
        </w:rPr>
        <w:t xml:space="preserve">не установлении в Конкурсной документации положений о предоставлении информации о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а также </w:t>
      </w:r>
      <w:r>
        <w:rPr>
          <w:rFonts w:ascii="Times New Roman" w:hAnsi="Times New Roman"/>
          <w:color w:val="000000"/>
          <w:sz w:val="28"/>
        </w:rPr>
        <w:t xml:space="preserve">ответственности подрядчика за непредоставление информации о всех соисполнителях, субподрядчиках, заключивших договор или договоры с поставщиком (подрядчиком, исполнителем);   </w:t>
      </w:r>
    </w:p>
    <w:p>
      <w:pPr>
        <w:spacing w:lineRule="exact" w:line="330" w:after="0" w:beforeAutospacing="0" w:afterAutospacing="0"/>
        <w:ind w:firstLine="709"/>
        <w:jc w:val="both"/>
        <w:rPr>
          <w:rFonts w:ascii="Times New Roman" w:hAnsi="Times New Roman"/>
          <w:color w:val="000000"/>
          <w:sz w:val="28"/>
        </w:rPr>
      </w:pPr>
      <w:r>
        <w:rPr>
          <w:rFonts w:ascii="Times New Roman" w:hAnsi="Times New Roman"/>
          <w:color w:val="000000"/>
          <w:sz w:val="28"/>
        </w:rPr>
        <w:t xml:space="preserve">- части 6 статьи 110.2 Закона о контрактной системе, выразившееся в </w:t>
      </w:r>
      <w:r>
        <w:rPr>
          <w:rFonts w:ascii="Times New Roman" w:hAnsi="Times New Roman"/>
          <w:sz w:val="28"/>
        </w:rPr>
        <w:t xml:space="preserve">установлении в Конкурсной документации ненадлежащим образом </w:t>
      </w:r>
      <w:r>
        <w:rPr>
          <w:rFonts w:ascii="Times New Roman" w:hAnsi="Times New Roman"/>
          <w:color w:val="000000"/>
          <w:sz w:val="28"/>
        </w:rPr>
        <w:t xml:space="preserve">графика строительно-монтажных работ. </w:t>
      </w:r>
    </w:p>
    <w:p>
      <w:pPr>
        <w:spacing w:lineRule="exact" w:line="330" w:after="0" w:beforeAutospacing="0" w:afterAutospacing="0"/>
        <w:ind w:firstLine="709"/>
        <w:jc w:val="both"/>
        <w:rPr>
          <w:rFonts w:ascii="Times New Roman" w:hAnsi="Times New Roman"/>
          <w:sz w:val="28"/>
        </w:rPr>
      </w:pPr>
      <w:r>
        <w:rPr>
          <w:rFonts w:ascii="Times New Roman" w:hAnsi="Times New Roman"/>
          <w:color w:val="000000"/>
          <w:sz w:val="28"/>
        </w:rPr>
        <w:t xml:space="preserve">На основании Решения Заказчику, конкурсной комиссии Заказчика, Оператору электронной площадки выдано предписание </w:t>
      </w:r>
      <w:r>
        <w:rPr>
          <w:rFonts w:ascii="Times New Roman" w:hAnsi="Times New Roman"/>
          <w:sz w:val="28"/>
        </w:rPr>
        <w:t xml:space="preserve">от 22.01.2021 по делу                      № 21/44/105/55, согласно которому Заказчику необходимо </w:t>
      </w:r>
      <w:r>
        <w:rPr>
          <w:rFonts w:ascii="Times New Roman" w:hAnsi="Times New Roman"/>
          <w:sz w:val="28"/>
          <w:u w:val="none" w:color="000000"/>
        </w:rPr>
        <w:t>при заключении контракта устранить выявленные нарушения</w:t>
      </w:r>
      <w:r>
        <w:rPr>
          <w:rFonts w:ascii="Times New Roman" w:hAnsi="Times New Roman"/>
          <w:sz w:val="28"/>
        </w:rPr>
        <w:t xml:space="preserve">. </w:t>
      </w:r>
    </w:p>
    <w:p>
      <w:pPr>
        <w:spacing w:lineRule="exact" w:line="330" w:after="0" w:beforeAutospacing="0" w:afterAutospacing="0"/>
        <w:ind w:firstLine="709"/>
        <w:contextualSpacing w:val="1"/>
        <w:jc w:val="both"/>
        <w:rPr>
          <w:rFonts w:ascii="Times New Roman" w:hAnsi="Times New Roman"/>
          <w:sz w:val="28"/>
          <w:lang w:eastAsia="ru-RU"/>
        </w:rPr>
      </w:pPr>
      <w:r>
        <w:rPr>
          <w:rFonts w:ascii="Times New Roman" w:hAnsi="Times New Roman"/>
          <w:color w:val="000000"/>
          <w:sz w:val="28"/>
          <w:lang w:eastAsia="ru-RU"/>
        </w:rPr>
        <w:t>На основании изложенного и руководствуясь</w:t>
      </w:r>
      <w:r>
        <w:rPr>
          <w:rFonts w:ascii="Times New Roman" w:hAnsi="Times New Roman"/>
          <w:sz w:val="28"/>
          <w:lang w:eastAsia="ru-RU"/>
        </w:rPr>
        <w:t xml:space="preserve"> частью 1 статьи 2, пунктом 1 части 15 статьи 99, частью 8 статьи 106 Закона о контрактной системе, Административным регламентом Комиссия</w:t>
      </w:r>
    </w:p>
    <w:p>
      <w:pPr>
        <w:spacing w:lineRule="auto" w:line="235" w:after="0" w:beforeAutospacing="0" w:afterAutospacing="0"/>
        <w:contextualSpacing w:val="1"/>
        <w:jc w:val="center"/>
        <w:rPr>
          <w:rFonts w:ascii="Times New Roman" w:hAnsi="Times New Roman"/>
          <w:sz w:val="28"/>
          <w:lang w:eastAsia="ru-RU"/>
        </w:rPr>
      </w:pPr>
      <w:r>
        <w:rPr>
          <w:rFonts w:ascii="Times New Roman" w:hAnsi="Times New Roman"/>
          <w:sz w:val="28"/>
          <w:lang w:eastAsia="ru-RU"/>
        </w:rPr>
        <w:t>РЕШИЛА:</w:t>
      </w:r>
    </w:p>
    <w:p>
      <w:pPr>
        <w:tabs>
          <w:tab w:val="left" w:pos="6474" w:leader="none"/>
        </w:tabs>
        <w:spacing w:lineRule="auto" w:line="264" w:after="0" w:beforeAutospacing="0" w:afterAutospacing="0"/>
        <w:ind w:firstLine="709"/>
        <w:contextualSpacing w:val="1"/>
        <w:rPr>
          <w:rFonts w:ascii="Times New Roman" w:hAnsi="Times New Roman"/>
          <w:sz w:val="28"/>
          <w:lang w:eastAsia="ru-RU"/>
        </w:rPr>
      </w:pPr>
      <w:r>
        <w:rPr>
          <w:rFonts w:ascii="Times New Roman" w:hAnsi="Times New Roman"/>
          <w:sz w:val="28"/>
          <w:lang w:eastAsia="ru-RU"/>
        </w:rPr>
        <w:tab/>
      </w:r>
    </w:p>
    <w:p>
      <w:pPr>
        <w:pStyle w:val="P3"/>
        <w:spacing w:lineRule="auto" w:line="264" w:after="0" w:beforeAutospacing="0" w:afterAutospacing="0"/>
        <w:ind w:firstLine="709" w:left="0"/>
        <w:jc w:val="both"/>
        <w:rPr>
          <w:rFonts w:ascii="Times New Roman" w:hAnsi="Times New Roman"/>
          <w:sz w:val="28"/>
        </w:rPr>
      </w:pPr>
      <w:r>
        <w:rPr>
          <w:rFonts w:ascii="Times New Roman" w:hAnsi="Times New Roman"/>
          <w:sz w:val="28"/>
        </w:rPr>
        <w:t xml:space="preserve">1. Признать жалобу </w:t>
      </w:r>
      <w:r>
        <w:rPr>
          <w:rFonts w:ascii="Times New Roman" w:hAnsi="Times New Roman"/>
          <w:color w:val="000000"/>
          <w:sz w:val="28"/>
          <w:lang w:eastAsia="ru-RU"/>
        </w:rPr>
        <w:t>АО «Специализированный застройщик «ТУС» не</w:t>
      </w:r>
      <w:r>
        <w:rPr>
          <w:rFonts w:ascii="Times New Roman" w:hAnsi="Times New Roman"/>
          <w:sz w:val="28"/>
        </w:rPr>
        <w:t>обоснованной.</w:t>
      </w:r>
    </w:p>
    <w:p>
      <w:pPr>
        <w:pStyle w:val="P3"/>
        <w:spacing w:lineRule="auto" w:line="264" w:after="0" w:beforeAutospacing="0" w:afterAutospacing="0"/>
        <w:ind w:firstLine="709" w:left="0"/>
        <w:jc w:val="both"/>
        <w:rPr>
          <w:rFonts w:ascii="Times New Roman" w:hAnsi="Times New Roman"/>
          <w:sz w:val="28"/>
          <w:u w:val="none" w:color="000000"/>
        </w:rPr>
      </w:pPr>
      <w:r>
        <w:rPr>
          <w:rFonts w:ascii="Times New Roman" w:hAnsi="Times New Roman"/>
          <w:sz w:val="28"/>
        </w:rPr>
        <w:t>2. Признать в действиях Заказчика нарушения части</w:t>
      </w:r>
      <w:r>
        <w:rPr>
          <w:rFonts w:ascii="Times New Roman" w:hAnsi="Times New Roman"/>
          <w:b w:val="1"/>
          <w:sz w:val="28"/>
        </w:rPr>
        <w:t xml:space="preserve"> </w:t>
      </w:r>
      <w:r>
        <w:rPr>
          <w:rFonts w:ascii="Times New Roman" w:hAnsi="Times New Roman"/>
          <w:sz w:val="28"/>
        </w:rPr>
        <w:t>1, пункта 1 части 13, частей 23, 24 статьи 34, части 6 статьи 110.2 Закона о контрактной системе Закона о контрактной системе</w:t>
      </w:r>
      <w:r>
        <w:rPr>
          <w:rFonts w:ascii="Times New Roman" w:hAnsi="Times New Roman"/>
          <w:sz w:val="28"/>
          <w:u w:val="none" w:color="000000"/>
        </w:rPr>
        <w:t>.</w:t>
      </w:r>
    </w:p>
    <w:p>
      <w:pPr>
        <w:pStyle w:val="P3"/>
        <w:spacing w:lineRule="auto" w:line="264" w:after="0" w:beforeAutospacing="0" w:afterAutospacing="0"/>
        <w:ind w:firstLine="709" w:left="0"/>
        <w:jc w:val="both"/>
        <w:rPr>
          <w:rFonts w:ascii="Times New Roman" w:hAnsi="Times New Roman"/>
          <w:sz w:val="28"/>
        </w:rPr>
      </w:pPr>
      <w:r>
        <w:rPr>
          <w:rFonts w:ascii="Times New Roman" w:hAnsi="Times New Roman"/>
          <w:sz w:val="28"/>
          <w:u w:val="none" w:color="000000"/>
        </w:rPr>
        <w:t xml:space="preserve">3. </w:t>
      </w:r>
      <w:r>
        <w:rPr>
          <w:rFonts w:ascii="Times New Roman" w:hAnsi="Times New Roman"/>
          <w:sz w:val="28"/>
        </w:rPr>
        <w:t xml:space="preserve">В связи с тем, что предписание по выявленным нарушениям выдано на основании решения от 22.01.2021 по делу № 21/44/105/55, предписание по настоящему делу не выдавать. </w:t>
      </w:r>
    </w:p>
    <w:p>
      <w:pPr>
        <w:pStyle w:val="P3"/>
        <w:spacing w:lineRule="auto" w:line="264" w:after="0" w:beforeAutospacing="0" w:afterAutospacing="0"/>
        <w:ind w:firstLine="709" w:left="0"/>
        <w:jc w:val="both"/>
        <w:rPr>
          <w:rFonts w:ascii="Times New Roman" w:hAnsi="Times New Roman"/>
          <w:sz w:val="28"/>
        </w:rPr>
      </w:pPr>
      <w:r>
        <w:rPr>
          <w:rFonts w:ascii="Times New Roman" w:hAnsi="Times New Roman"/>
          <w:sz w:val="28"/>
        </w:rPr>
        <w:t xml:space="preserve">4. В связи с тем, что материалы по выявленным нарушениям переданы на основании решения от 22.01.2021 по делу № 21/44/105/55 соответствующему должностному лицу Управления контроля размещения государственного заказа                 ФАС России, материалы по настоящему делу для рассмотрения вопроса о возбуждении дела об административном правонарушении не передавать.</w:t>
      </w:r>
    </w:p>
    <w:p>
      <w:pPr>
        <w:tabs>
          <w:tab w:val="left" w:pos="1134" w:leader="none"/>
        </w:tabs>
        <w:spacing w:lineRule="auto" w:line="264" w:after="0" w:beforeAutospacing="0" w:afterAutospacing="0"/>
        <w:ind w:firstLine="709"/>
        <w:contextualSpacing w:val="1"/>
        <w:jc w:val="both"/>
        <w:rPr>
          <w:rFonts w:ascii="Times New Roman" w:hAnsi="Times New Roman"/>
          <w:sz w:val="28"/>
          <w:lang w:eastAsia="ru-RU"/>
        </w:rPr>
      </w:pPr>
    </w:p>
    <w:p>
      <w:pPr>
        <w:spacing w:lineRule="auto" w:line="264" w:after="0" w:beforeAutospacing="0" w:afterAutospacing="0"/>
        <w:ind w:firstLine="709"/>
        <w:contextualSpacing w:val="1"/>
        <w:jc w:val="both"/>
        <w:rPr>
          <w:rFonts w:ascii="Times New Roman" w:hAnsi="Times New Roman"/>
          <w:sz w:val="28"/>
          <w:lang w:eastAsia="ru-RU"/>
        </w:rPr>
      </w:pPr>
      <w:r>
        <w:rPr>
          <w:rFonts w:ascii="Times New Roman" w:hAnsi="Times New Roman"/>
          <w:sz w:val="28"/>
          <w:lang w:eastAsia="ru-RU"/>
        </w:rPr>
        <w:t>Настоящее решение может быть обжаловано в суде, арбитражном суде в течение трех месяцев в установленном законом порядке.</w:t>
      </w:r>
    </w:p>
    <w:p>
      <w:pPr>
        <w:spacing w:lineRule="atLeast" w:line="240" w:after="0" w:beforeAutospacing="0" w:afterAutospacing="0"/>
        <w:contextualSpacing w:val="1"/>
        <w:rPr>
          <w:rFonts w:ascii="Times New Roman" w:hAnsi="Times New Roman"/>
          <w:color w:val="000000"/>
          <w:sz w:val="20"/>
          <w:lang w:eastAsia="ru-RU"/>
        </w:rPr>
      </w:pPr>
    </w:p>
    <w:sectPr>
      <w:headerReference xmlns:r="http://schemas.openxmlformats.org/officeDocument/2006/relationships" w:type="default" r:id="RelHdr1"/>
      <w:type w:val="nextPage"/>
      <w:pgSz w:w="11906" w:h="16838" w:code="0"/>
      <w:pgMar w:left="1134" w:right="707" w:top="1134" w:bottom="1134" w:header="709" w:footer="709" w:gutter="0"/>
      <w:titlePg w:val="1"/>
    </w:sectPr>
  </w:body>
</w:document>
</file>

<file path=word/header1.xml><?xml version="1.0" encoding="utf-8"?>
<w:hdr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p>
    <w:pPr>
      <w:pStyle w:val="P5"/>
      <w:jc w:val="center"/>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PAGE   \* MERGEFORMAT</w:instrText>
    </w:r>
    <w:r>
      <w:rPr>
        <w:rFonts w:ascii="Times New Roman" w:hAnsi="Times New Roman"/>
        <w:sz w:val="24"/>
      </w:rPr>
      <w:fldChar w:fldCharType="separate"/>
    </w:r>
    <w:r>
      <w:rPr>
        <w:rFonts w:ascii="Times New Roman" w:hAnsi="Times New Roman"/>
        <w:noProof w:val="1"/>
        <w:sz w:val="24"/>
      </w:rPr>
      <w:t>#</w:t>
    </w:r>
    <w:r>
      <w:rPr>
        <w:rFonts w:ascii="Times New Roman" w:hAnsi="Times New Roman"/>
        <w:sz w:val="24"/>
      </w:rPr>
      <w:fldChar w:fldCharType="end"/>
    </w:r>
  </w:p>
  <w:p>
    <w:pPr>
      <w:pStyle w:val="P5"/>
      <w:jc w:val="center"/>
    </w:pPr>
  </w:p>
</w:hdr>
</file>

<file path=word/numbering.xml><?xml version="1.0" encoding="utf-8"?>
<w:numbering xmlns:w="http://schemas.openxmlformats.org/wordprocessingml/2006/main">
  <w:abstractNum w:abstractNumId="0">
    <w:nsid w:val="02151DA2"/>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2"/>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1">
    <w:nsid w:val="09BF0CCA"/>
    <w:multiLevelType w:val="hybridMultilevel"/>
    <w:lvl w:ilvl="0" w:tplc="E9C26C9C">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2">
    <w:nsid w:val="0BAB475C"/>
    <w:multiLevelType w:val="hybridMultilevel"/>
    <w:lvl w:ilvl="0" w:tplc="795E7F76">
      <w:start w:val="1"/>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3">
    <w:nsid w:val="0CB35B2B"/>
    <w:multiLevelType w:val="hybridMultilevel"/>
    <w:lvl w:ilvl="0" w:tplc="47FCFCC4">
      <w:start w:val="1"/>
      <w:numFmt w:val="decimal"/>
      <w:suff w:val="tab"/>
      <w:lvlText w:val="%1."/>
      <w:lvlJc w:val="left"/>
      <w:pPr>
        <w:ind w:hanging="360" w:left="1068"/>
      </w:pPr>
      <w:rPr/>
    </w:lvl>
    <w:lvl w:ilvl="1" w:tplc="04190019">
      <w:start w:val="1"/>
      <w:numFmt w:val="lowerLetter"/>
      <w:suff w:val="tab"/>
      <w:lvlText w:val="%2."/>
      <w:lvlJc w:val="left"/>
      <w:pPr>
        <w:ind w:hanging="360" w:left="1788"/>
      </w:pPr>
      <w:rPr/>
    </w:lvl>
    <w:lvl w:ilvl="2" w:tplc="0419001B">
      <w:start w:val="1"/>
      <w:numFmt w:val="lowerRoman"/>
      <w:suff w:val="tab"/>
      <w:lvlText w:val="%3."/>
      <w:lvlJc w:val="right"/>
      <w:pPr>
        <w:ind w:hanging="180" w:left="2508"/>
      </w:pPr>
      <w:rPr/>
    </w:lvl>
    <w:lvl w:ilvl="3" w:tplc="0419000F">
      <w:start w:val="1"/>
      <w:numFmt w:val="decimal"/>
      <w:suff w:val="tab"/>
      <w:lvlText w:val="%4."/>
      <w:lvlJc w:val="left"/>
      <w:pPr>
        <w:ind w:hanging="360" w:left="3228"/>
      </w:pPr>
      <w:rPr/>
    </w:lvl>
    <w:lvl w:ilvl="4" w:tplc="04190019">
      <w:start w:val="1"/>
      <w:numFmt w:val="lowerLetter"/>
      <w:suff w:val="tab"/>
      <w:lvlText w:val="%5."/>
      <w:lvlJc w:val="left"/>
      <w:pPr>
        <w:ind w:hanging="360" w:left="3948"/>
      </w:pPr>
      <w:rPr/>
    </w:lvl>
    <w:lvl w:ilvl="5" w:tplc="0419001B">
      <w:start w:val="1"/>
      <w:numFmt w:val="lowerRoman"/>
      <w:suff w:val="tab"/>
      <w:lvlText w:val="%6."/>
      <w:lvlJc w:val="right"/>
      <w:pPr>
        <w:ind w:hanging="180" w:left="4668"/>
      </w:pPr>
      <w:rPr/>
    </w:lvl>
    <w:lvl w:ilvl="6" w:tplc="0419000F">
      <w:start w:val="1"/>
      <w:numFmt w:val="decimal"/>
      <w:suff w:val="tab"/>
      <w:lvlText w:val="%7."/>
      <w:lvlJc w:val="left"/>
      <w:pPr>
        <w:ind w:hanging="360" w:left="5388"/>
      </w:pPr>
      <w:rPr/>
    </w:lvl>
    <w:lvl w:ilvl="7" w:tplc="04190019">
      <w:start w:val="1"/>
      <w:numFmt w:val="lowerLetter"/>
      <w:suff w:val="tab"/>
      <w:lvlText w:val="%8."/>
      <w:lvlJc w:val="left"/>
      <w:pPr>
        <w:ind w:hanging="360" w:left="6108"/>
      </w:pPr>
      <w:rPr/>
    </w:lvl>
    <w:lvl w:ilvl="8" w:tplc="0419001B">
      <w:start w:val="1"/>
      <w:numFmt w:val="lowerRoman"/>
      <w:suff w:val="tab"/>
      <w:lvlText w:val="%9."/>
      <w:lvlJc w:val="right"/>
      <w:pPr>
        <w:ind w:hanging="180" w:left="6828"/>
      </w:pPr>
      <w:rPr/>
    </w:lvl>
  </w:abstractNum>
  <w:abstractNum w:abstractNumId="4">
    <w:nsid w:val="0F376B92"/>
    <w:multiLevelType w:val="hybridMultilevel"/>
    <w:lvl w:ilvl="0" w:tplc="E9C26C9C">
      <w:start w:val="1"/>
      <w:numFmt w:val="bullet"/>
      <w:suff w:val="tab"/>
      <w:lvlText w:val=""/>
      <w:lvlJc w:val="left"/>
      <w:pPr>
        <w:ind w:hanging="360" w:left="720"/>
      </w:pPr>
      <w:rPr>
        <w:rFonts w:ascii="Symbol" w:hAnsi="Symbol"/>
      </w:rPr>
    </w:lvl>
    <w:lvl w:ilvl="1" w:tplc="04190003">
      <w:start w:val="1"/>
      <w:numFmt w:val="bullet"/>
      <w:suff w:val="tab"/>
      <w:lvlText w:val="o"/>
      <w:lvlJc w:val="left"/>
      <w:pPr>
        <w:ind w:hanging="360" w:left="1440"/>
      </w:pPr>
      <w:rPr>
        <w:rFonts w:ascii="Courier New" w:hAnsi="Courier New"/>
      </w:rPr>
    </w:lvl>
    <w:lvl w:ilvl="2" w:tplc="04190005">
      <w:start w:val="1"/>
      <w:numFmt w:val="bullet"/>
      <w:suff w:val="tab"/>
      <w:lvlText w:val=""/>
      <w:lvlJc w:val="left"/>
      <w:pPr>
        <w:ind w:hanging="360" w:left="2160"/>
      </w:pPr>
      <w:rPr>
        <w:rFonts w:ascii="Wingdings" w:hAnsi="Wingdings"/>
      </w:rPr>
    </w:lvl>
    <w:lvl w:ilvl="3" w:tplc="04190001">
      <w:start w:val="1"/>
      <w:numFmt w:val="bullet"/>
      <w:suff w:val="tab"/>
      <w:lvlText w:val=""/>
      <w:lvlJc w:val="left"/>
      <w:pPr>
        <w:ind w:hanging="360" w:left="2880"/>
      </w:pPr>
      <w:rPr>
        <w:rFonts w:ascii="Symbol" w:hAnsi="Symbol"/>
      </w:rPr>
    </w:lvl>
    <w:lvl w:ilvl="4" w:tplc="04190003">
      <w:start w:val="1"/>
      <w:numFmt w:val="bullet"/>
      <w:suff w:val="tab"/>
      <w:lvlText w:val="o"/>
      <w:lvlJc w:val="left"/>
      <w:pPr>
        <w:ind w:hanging="360" w:left="3600"/>
      </w:pPr>
      <w:rPr>
        <w:rFonts w:ascii="Courier New" w:hAnsi="Courier New"/>
      </w:rPr>
    </w:lvl>
    <w:lvl w:ilvl="5" w:tplc="04190005">
      <w:start w:val="1"/>
      <w:numFmt w:val="bullet"/>
      <w:suff w:val="tab"/>
      <w:lvlText w:val=""/>
      <w:lvlJc w:val="left"/>
      <w:pPr>
        <w:ind w:hanging="360" w:left="4320"/>
      </w:pPr>
      <w:rPr>
        <w:rFonts w:ascii="Wingdings" w:hAnsi="Wingdings"/>
      </w:rPr>
    </w:lvl>
    <w:lvl w:ilvl="6" w:tplc="04190001">
      <w:start w:val="1"/>
      <w:numFmt w:val="bullet"/>
      <w:suff w:val="tab"/>
      <w:lvlText w:val=""/>
      <w:lvlJc w:val="left"/>
      <w:pPr>
        <w:ind w:hanging="360" w:left="5040"/>
      </w:pPr>
      <w:rPr>
        <w:rFonts w:ascii="Symbol" w:hAnsi="Symbol"/>
      </w:rPr>
    </w:lvl>
    <w:lvl w:ilvl="7" w:tplc="04190003">
      <w:start w:val="1"/>
      <w:numFmt w:val="bullet"/>
      <w:suff w:val="tab"/>
      <w:lvlText w:val="o"/>
      <w:lvlJc w:val="left"/>
      <w:pPr>
        <w:ind w:hanging="360" w:left="5760"/>
      </w:pPr>
      <w:rPr>
        <w:rFonts w:ascii="Courier New" w:hAnsi="Courier New"/>
      </w:rPr>
    </w:lvl>
    <w:lvl w:ilvl="8" w:tplc="04190005">
      <w:start w:val="1"/>
      <w:numFmt w:val="bullet"/>
      <w:suff w:val="tab"/>
      <w:lvlText w:val=""/>
      <w:lvlJc w:val="left"/>
      <w:pPr>
        <w:ind w:hanging="360" w:left="6480"/>
      </w:pPr>
      <w:rPr>
        <w:rFonts w:ascii="Wingdings" w:hAnsi="Wingdings"/>
      </w:rPr>
    </w:lvl>
  </w:abstractNum>
  <w:abstractNum w:abstractNumId="5">
    <w:nsid w:val="102B026E"/>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1"/>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6">
    <w:nsid w:val="1DC66B86"/>
    <w:multiLevelType w:val="hybridMultilevel"/>
    <w:lvl w:ilvl="0" w:tplc="0419000F">
      <w:start w:val="1"/>
      <w:numFmt w:val="decimal"/>
      <w:suff w:val="tab"/>
      <w:lvlText w:val="%1."/>
      <w:lvlJc w:val="left"/>
      <w:pPr>
        <w:ind w:hanging="360" w:left="1070"/>
      </w:pPr>
      <w:rPr/>
    </w:lvl>
    <w:lvl w:ilvl="1" w:tplc="04190019">
      <w:start w:val="1"/>
      <w:numFmt w:val="lowerLetter"/>
      <w:suff w:val="tab"/>
      <w:lvlText w:val="%2."/>
      <w:lvlJc w:val="left"/>
      <w:pPr>
        <w:ind w:hanging="360" w:left="1790"/>
      </w:pPr>
      <w:rPr/>
    </w:lvl>
    <w:lvl w:ilvl="2" w:tplc="0419001B">
      <w:start w:val="1"/>
      <w:numFmt w:val="lowerRoman"/>
      <w:suff w:val="tab"/>
      <w:lvlText w:val="%3."/>
      <w:lvlJc w:val="right"/>
      <w:pPr>
        <w:ind w:hanging="180" w:left="2510"/>
      </w:pPr>
      <w:rPr/>
    </w:lvl>
    <w:lvl w:ilvl="3" w:tplc="0419000F">
      <w:start w:val="1"/>
      <w:numFmt w:val="decimal"/>
      <w:suff w:val="tab"/>
      <w:lvlText w:val="%4."/>
      <w:lvlJc w:val="left"/>
      <w:pPr>
        <w:ind w:hanging="360" w:left="3230"/>
      </w:pPr>
      <w:rPr/>
    </w:lvl>
    <w:lvl w:ilvl="4" w:tplc="04190019">
      <w:start w:val="1"/>
      <w:numFmt w:val="lowerLetter"/>
      <w:suff w:val="tab"/>
      <w:lvlText w:val="%5."/>
      <w:lvlJc w:val="left"/>
      <w:pPr>
        <w:ind w:hanging="360" w:left="3950"/>
      </w:pPr>
      <w:rPr/>
    </w:lvl>
    <w:lvl w:ilvl="5" w:tplc="0419001B">
      <w:start w:val="1"/>
      <w:numFmt w:val="lowerRoman"/>
      <w:suff w:val="tab"/>
      <w:lvlText w:val="%6."/>
      <w:lvlJc w:val="right"/>
      <w:pPr>
        <w:ind w:hanging="180" w:left="4670"/>
      </w:pPr>
      <w:rPr/>
    </w:lvl>
    <w:lvl w:ilvl="6" w:tplc="0419000F">
      <w:start w:val="1"/>
      <w:numFmt w:val="decimal"/>
      <w:suff w:val="tab"/>
      <w:lvlText w:val="%7."/>
      <w:lvlJc w:val="left"/>
      <w:pPr>
        <w:ind w:hanging="360" w:left="5390"/>
      </w:pPr>
      <w:rPr/>
    </w:lvl>
    <w:lvl w:ilvl="7" w:tplc="04190019">
      <w:start w:val="1"/>
      <w:numFmt w:val="lowerLetter"/>
      <w:suff w:val="tab"/>
      <w:lvlText w:val="%8."/>
      <w:lvlJc w:val="left"/>
      <w:pPr>
        <w:ind w:hanging="360" w:left="6110"/>
      </w:pPr>
      <w:rPr/>
    </w:lvl>
    <w:lvl w:ilvl="8" w:tplc="0419001B">
      <w:start w:val="1"/>
      <w:numFmt w:val="lowerRoman"/>
      <w:suff w:val="tab"/>
      <w:lvlText w:val="%9."/>
      <w:lvlJc w:val="right"/>
      <w:pPr>
        <w:ind w:hanging="180" w:left="6830"/>
      </w:pPr>
      <w:rPr/>
    </w:lvl>
  </w:abstractNum>
  <w:abstractNum w:abstractNumId="7">
    <w:nsid w:val="1F232C7E"/>
    <w:multiLevelType w:val="hybridMultilevel"/>
    <w:lvl w:ilvl="0" w:tplc="529E020E">
      <w:start w:val="1"/>
      <w:numFmt w:val="decimal"/>
      <w:suff w:val="tab"/>
      <w:lvlText w:val="%1."/>
      <w:lvlJc w:val="left"/>
      <w:pPr>
        <w:ind w:hanging="555" w:left="1406"/>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8">
    <w:nsid w:val="298A48D5"/>
    <w:multiLevelType w:val="hybridMultilevel"/>
    <w:lvl w:ilvl="0" w:tplc="34B2EE64">
      <w:start w:val="1"/>
      <w:numFmt w:val="decimal"/>
      <w:suff w:val="tab"/>
      <w:lvlText w:val="%1)"/>
      <w:lvlJc w:val="left"/>
      <w:pPr>
        <w:ind w:hanging="480" w:left="133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9">
    <w:nsid w:val="2ADA25CE"/>
    <w:multiLevelType w:val="hybridMultilevel"/>
    <w:lvl w:ilvl="0" w:tplc="F16A0C2E">
      <w:start w:val="1"/>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0">
    <w:nsid w:val="2CFF7787"/>
    <w:multiLevelType w:val="multilevel"/>
    <w:lvl w:ilvl="0">
      <w:start w:val="1"/>
      <w:numFmt w:val="decimal"/>
      <w:suff w:val="tab"/>
      <w:lvlText w:val="%1."/>
      <w:lvlJc w:val="left"/>
      <w:pPr>
        <w:ind w:hanging="360" w:left="720"/>
      </w:pPr>
      <w:rPr>
        <w:b w:val="1"/>
        <w:i w:val="0"/>
      </w:rPr>
    </w:lvl>
    <w:lvl w:ilvl="1">
      <w:start w:val="1"/>
      <w:numFmt w:val="decimal"/>
      <w:isLgl w:val="1"/>
      <w:suff w:val="tab"/>
      <w:lvlText w:val="%1.%2."/>
      <w:lvlJc w:val="left"/>
      <w:pPr>
        <w:ind w:hanging="480" w:left="2891"/>
      </w:pPr>
      <w:rPr>
        <w:b w:val="0"/>
      </w:rPr>
    </w:lvl>
    <w:lvl w:ilvl="2">
      <w:start w:val="1"/>
      <w:numFmt w:val="decimal"/>
      <w:isLgl w:val="1"/>
      <w:suff w:val="tab"/>
      <w:lvlText w:val="%1.%2.%3."/>
      <w:lvlJc w:val="left"/>
      <w:pPr>
        <w:ind w:hanging="720" w:left="1430"/>
      </w:pPr>
      <w:rPr>
        <w:b w:val="0"/>
      </w:rPr>
    </w:lvl>
    <w:lvl w:ilvl="3">
      <w:start w:val="1"/>
      <w:numFmt w:val="decimal"/>
      <w:isLgl w:val="1"/>
      <w:suff w:val="tab"/>
      <w:lvlText w:val="%1.%2.%3.%4."/>
      <w:lvlJc w:val="left"/>
      <w:pPr>
        <w:ind w:hanging="720" w:left="1080"/>
      </w:pPr>
      <w:rPr>
        <w:b w:val="0"/>
      </w:rPr>
    </w:lvl>
    <w:lvl w:ilvl="4">
      <w:start w:val="1"/>
      <w:numFmt w:val="decimal"/>
      <w:isLgl w:val="1"/>
      <w:suff w:val="tab"/>
      <w:lvlText w:val="%1.%2.%3.%4.%5."/>
      <w:lvlJc w:val="left"/>
      <w:pPr>
        <w:ind w:hanging="1080" w:left="1440"/>
      </w:pPr>
      <w:rPr>
        <w:b w:val="0"/>
      </w:rPr>
    </w:lvl>
    <w:lvl w:ilvl="5">
      <w:start w:val="1"/>
      <w:numFmt w:val="decimal"/>
      <w:isLgl w:val="1"/>
      <w:suff w:val="tab"/>
      <w:lvlText w:val="%1.%2.%3.%4.%5.%6."/>
      <w:lvlJc w:val="left"/>
      <w:pPr>
        <w:ind w:hanging="1080" w:left="1440"/>
      </w:pPr>
      <w:rPr>
        <w:b w:val="0"/>
      </w:rPr>
    </w:lvl>
    <w:lvl w:ilvl="6">
      <w:start w:val="1"/>
      <w:numFmt w:val="decimal"/>
      <w:isLgl w:val="1"/>
      <w:suff w:val="tab"/>
      <w:lvlText w:val="%1.%2.%3.%4.%5.%6.%7."/>
      <w:lvlJc w:val="left"/>
      <w:pPr>
        <w:ind w:hanging="1440" w:left="1800"/>
      </w:pPr>
      <w:rPr>
        <w:b w:val="0"/>
      </w:rPr>
    </w:lvl>
    <w:lvl w:ilvl="7">
      <w:start w:val="1"/>
      <w:numFmt w:val="decimal"/>
      <w:isLgl w:val="1"/>
      <w:suff w:val="tab"/>
      <w:lvlText w:val="%1.%2.%3.%4.%5.%6.%7.%8."/>
      <w:lvlJc w:val="left"/>
      <w:pPr>
        <w:ind w:hanging="1440" w:left="1800"/>
      </w:pPr>
      <w:rPr>
        <w:b w:val="0"/>
      </w:rPr>
    </w:lvl>
    <w:lvl w:ilvl="8">
      <w:start w:val="1"/>
      <w:numFmt w:val="decimal"/>
      <w:isLgl w:val="1"/>
      <w:suff w:val="tab"/>
      <w:lvlText w:val="%1.%2.%3.%4.%5.%6.%7.%8.%9."/>
      <w:lvlJc w:val="left"/>
      <w:pPr>
        <w:ind w:hanging="1800" w:left="2160"/>
      </w:pPr>
      <w:rPr>
        <w:b w:val="0"/>
      </w:rPr>
    </w:lvl>
  </w:abstractNum>
  <w:abstractNum w:abstractNumId="11">
    <w:nsid w:val="2F30765A"/>
    <w:multiLevelType w:val="hybridMultilevel"/>
    <w:lvl w:ilvl="0" w:tplc="41E20656">
      <w:start w:val="1"/>
      <w:numFmt w:val="decimal"/>
      <w:suff w:val="tab"/>
      <w:lvlText w:val="%1)"/>
      <w:lvlJc w:val="left"/>
      <w:pPr>
        <w:ind w:hanging="555" w:left="1406"/>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2">
    <w:nsid w:val="322B6B83"/>
    <w:multiLevelType w:val="hybridMultilevel"/>
    <w:lvl w:ilvl="0" w:tplc="69CE7244">
      <w:start w:val="1"/>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3">
    <w:nsid w:val="36081C36"/>
    <w:multiLevelType w:val="hybridMultilevel"/>
    <w:lvl w:ilvl="0" w:tplc="0419000F">
      <w:start w:val="1"/>
      <w:numFmt w:val="decimal"/>
      <w:suff w:val="tab"/>
      <w:lvlText w:val="%1."/>
      <w:lvlJc w:val="left"/>
      <w:pPr>
        <w:ind w:hanging="360" w:left="720"/>
      </w:pPr>
      <w:rPr/>
    </w:lvl>
    <w:lvl w:ilvl="1" w:tplc="04190019">
      <w:start w:val="1"/>
      <w:numFmt w:val="lowerLetter"/>
      <w:suff w:val="tab"/>
      <w:lvlText w:val="%2."/>
      <w:lvlJc w:val="left"/>
      <w:pPr>
        <w:ind w:hanging="360" w:left="1440"/>
      </w:pPr>
      <w:rPr/>
    </w:lvl>
    <w:lvl w:ilvl="2" w:tplc="0419001B">
      <w:start w:val="1"/>
      <w:numFmt w:val="lowerRoman"/>
      <w:suff w:val="tab"/>
      <w:lvlText w:val="%3."/>
      <w:lvlJc w:val="right"/>
      <w:pPr>
        <w:ind w:hanging="180" w:left="2160"/>
      </w:pPr>
      <w:rPr/>
    </w:lvl>
    <w:lvl w:ilvl="3" w:tplc="0419000F">
      <w:start w:val="1"/>
      <w:numFmt w:val="decimal"/>
      <w:suff w:val="tab"/>
      <w:lvlText w:val="%4."/>
      <w:lvlJc w:val="left"/>
      <w:pPr>
        <w:ind w:hanging="360" w:left="2880"/>
      </w:pPr>
      <w:rPr/>
    </w:lvl>
    <w:lvl w:ilvl="4" w:tplc="04190019">
      <w:start w:val="1"/>
      <w:numFmt w:val="lowerLetter"/>
      <w:suff w:val="tab"/>
      <w:lvlText w:val="%5."/>
      <w:lvlJc w:val="left"/>
      <w:pPr>
        <w:ind w:hanging="360" w:left="3600"/>
      </w:pPr>
      <w:rPr/>
    </w:lvl>
    <w:lvl w:ilvl="5" w:tplc="0419001B">
      <w:start w:val="1"/>
      <w:numFmt w:val="lowerRoman"/>
      <w:suff w:val="tab"/>
      <w:lvlText w:val="%6."/>
      <w:lvlJc w:val="right"/>
      <w:pPr>
        <w:ind w:hanging="180" w:left="4320"/>
      </w:pPr>
      <w:rPr/>
    </w:lvl>
    <w:lvl w:ilvl="6" w:tplc="0419000F">
      <w:start w:val="1"/>
      <w:numFmt w:val="decimal"/>
      <w:suff w:val="tab"/>
      <w:lvlText w:val="%7."/>
      <w:lvlJc w:val="left"/>
      <w:pPr>
        <w:ind w:hanging="360" w:left="5040"/>
      </w:pPr>
      <w:rPr/>
    </w:lvl>
    <w:lvl w:ilvl="7" w:tplc="04190019">
      <w:start w:val="1"/>
      <w:numFmt w:val="lowerLetter"/>
      <w:suff w:val="tab"/>
      <w:lvlText w:val="%8."/>
      <w:lvlJc w:val="left"/>
      <w:pPr>
        <w:ind w:hanging="360" w:left="5760"/>
      </w:pPr>
      <w:rPr/>
    </w:lvl>
    <w:lvl w:ilvl="8" w:tplc="0419001B">
      <w:start w:val="1"/>
      <w:numFmt w:val="lowerRoman"/>
      <w:suff w:val="tab"/>
      <w:lvlText w:val="%9."/>
      <w:lvlJc w:val="right"/>
      <w:pPr>
        <w:ind w:hanging="180" w:left="6480"/>
      </w:pPr>
      <w:rPr/>
    </w:lvl>
  </w:abstractNum>
  <w:abstractNum w:abstractNumId="14">
    <w:nsid w:val="36371342"/>
    <w:multiLevelType w:val="hybridMultilevel"/>
    <w:lvl w:ilvl="0" w:tplc="17743C12">
      <w:start w:val="2"/>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5">
    <w:nsid w:val="39C1530D"/>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1"/>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16">
    <w:nsid w:val="45006018"/>
    <w:multiLevelType w:val="hybridMultilevel"/>
    <w:lvl w:ilvl="0" w:tplc="FA8C6610">
      <w:start w:val="1"/>
      <w:numFmt w:val="decimal"/>
      <w:suff w:val="tab"/>
      <w:lvlText w:val="%1."/>
      <w:lvlJc w:val="left"/>
      <w:pPr>
        <w:ind w:hanging="360" w:left="1211"/>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17">
    <w:nsid w:val="4811090B"/>
    <w:multiLevelType w:val="hybridMultilevel"/>
    <w:lvl w:ilvl="0" w:tplc="04190011">
      <w:start w:val="1"/>
      <w:numFmt w:val="decimal"/>
      <w:suff w:val="tab"/>
      <w:lvlText w:val="%1)"/>
      <w:lvlJc w:val="left"/>
      <w:pPr>
        <w:ind w:hanging="360" w:left="720"/>
      </w:pPr>
      <w:rPr/>
    </w:lvl>
    <w:lvl w:ilvl="1" w:tplc="04190019">
      <w:start w:val="1"/>
      <w:numFmt w:val="lowerLetter"/>
      <w:suff w:val="tab"/>
      <w:lvlText w:val="%2."/>
      <w:lvlJc w:val="left"/>
      <w:pPr>
        <w:ind w:hanging="360" w:left="1440"/>
      </w:pPr>
      <w:rPr/>
    </w:lvl>
    <w:lvl w:ilvl="2" w:tplc="0419001B">
      <w:start w:val="1"/>
      <w:numFmt w:val="lowerRoman"/>
      <w:suff w:val="tab"/>
      <w:lvlText w:val="%3."/>
      <w:lvlJc w:val="right"/>
      <w:pPr>
        <w:ind w:hanging="180" w:left="2160"/>
      </w:pPr>
      <w:rPr/>
    </w:lvl>
    <w:lvl w:ilvl="3" w:tplc="0419000F">
      <w:start w:val="1"/>
      <w:numFmt w:val="decimal"/>
      <w:suff w:val="tab"/>
      <w:lvlText w:val="%4."/>
      <w:lvlJc w:val="left"/>
      <w:pPr>
        <w:ind w:hanging="360" w:left="2880"/>
      </w:pPr>
      <w:rPr/>
    </w:lvl>
    <w:lvl w:ilvl="4" w:tplc="04190019">
      <w:start w:val="1"/>
      <w:numFmt w:val="lowerLetter"/>
      <w:suff w:val="tab"/>
      <w:lvlText w:val="%5."/>
      <w:lvlJc w:val="left"/>
      <w:pPr>
        <w:ind w:hanging="360" w:left="3600"/>
      </w:pPr>
      <w:rPr/>
    </w:lvl>
    <w:lvl w:ilvl="5" w:tplc="0419001B">
      <w:start w:val="1"/>
      <w:numFmt w:val="lowerRoman"/>
      <w:suff w:val="tab"/>
      <w:lvlText w:val="%6."/>
      <w:lvlJc w:val="right"/>
      <w:pPr>
        <w:ind w:hanging="180" w:left="4320"/>
      </w:pPr>
      <w:rPr/>
    </w:lvl>
    <w:lvl w:ilvl="6" w:tplc="0419000F">
      <w:start w:val="1"/>
      <w:numFmt w:val="decimal"/>
      <w:suff w:val="tab"/>
      <w:lvlText w:val="%7."/>
      <w:lvlJc w:val="left"/>
      <w:pPr>
        <w:ind w:hanging="360" w:left="5040"/>
      </w:pPr>
      <w:rPr/>
    </w:lvl>
    <w:lvl w:ilvl="7" w:tplc="04190019">
      <w:start w:val="1"/>
      <w:numFmt w:val="lowerLetter"/>
      <w:suff w:val="tab"/>
      <w:lvlText w:val="%8."/>
      <w:lvlJc w:val="left"/>
      <w:pPr>
        <w:ind w:hanging="360" w:left="5760"/>
      </w:pPr>
      <w:rPr/>
    </w:lvl>
    <w:lvl w:ilvl="8" w:tplc="0419001B">
      <w:start w:val="1"/>
      <w:numFmt w:val="lowerRoman"/>
      <w:suff w:val="tab"/>
      <w:lvlText w:val="%9."/>
      <w:lvlJc w:val="right"/>
      <w:pPr>
        <w:ind w:hanging="180" w:left="6480"/>
      </w:pPr>
      <w:rPr/>
    </w:lvl>
  </w:abstractNum>
  <w:abstractNum w:abstractNumId="18">
    <w:nsid w:val="4E1F4DCC"/>
    <w:multiLevelType w:val="hybridMultilevel"/>
    <w:lvl w:ilvl="0" w:tplc="0419000F">
      <w:start w:val="1"/>
      <w:numFmt w:val="decimal"/>
      <w:suff w:val="tab"/>
      <w:lvlText w:val="%1."/>
      <w:lvlJc w:val="left"/>
      <w:pPr>
        <w:ind w:hanging="360" w:left="1571"/>
      </w:pPr>
      <w:rPr/>
    </w:lvl>
    <w:lvl w:ilvl="1" w:tplc="04190019">
      <w:start w:val="1"/>
      <w:numFmt w:val="lowerLetter"/>
      <w:suff w:val="tab"/>
      <w:lvlText w:val="%2."/>
      <w:lvlJc w:val="left"/>
      <w:pPr>
        <w:ind w:hanging="360" w:left="2291"/>
      </w:pPr>
      <w:rPr/>
    </w:lvl>
    <w:lvl w:ilvl="2" w:tplc="0419001B">
      <w:start w:val="1"/>
      <w:numFmt w:val="lowerRoman"/>
      <w:suff w:val="tab"/>
      <w:lvlText w:val="%3."/>
      <w:lvlJc w:val="right"/>
      <w:pPr>
        <w:ind w:hanging="180" w:left="3011"/>
      </w:pPr>
      <w:rPr/>
    </w:lvl>
    <w:lvl w:ilvl="3" w:tplc="0419000F">
      <w:start w:val="1"/>
      <w:numFmt w:val="decimal"/>
      <w:suff w:val="tab"/>
      <w:lvlText w:val="%4."/>
      <w:lvlJc w:val="left"/>
      <w:pPr>
        <w:ind w:hanging="360" w:left="3731"/>
      </w:pPr>
      <w:rPr/>
    </w:lvl>
    <w:lvl w:ilvl="4" w:tplc="04190019">
      <w:start w:val="1"/>
      <w:numFmt w:val="lowerLetter"/>
      <w:suff w:val="tab"/>
      <w:lvlText w:val="%5."/>
      <w:lvlJc w:val="left"/>
      <w:pPr>
        <w:ind w:hanging="360" w:left="4451"/>
      </w:pPr>
      <w:rPr/>
    </w:lvl>
    <w:lvl w:ilvl="5" w:tplc="0419001B">
      <w:start w:val="1"/>
      <w:numFmt w:val="lowerRoman"/>
      <w:suff w:val="tab"/>
      <w:lvlText w:val="%6."/>
      <w:lvlJc w:val="right"/>
      <w:pPr>
        <w:ind w:hanging="180" w:left="5171"/>
      </w:pPr>
      <w:rPr/>
    </w:lvl>
    <w:lvl w:ilvl="6" w:tplc="0419000F">
      <w:start w:val="1"/>
      <w:numFmt w:val="decimal"/>
      <w:suff w:val="tab"/>
      <w:lvlText w:val="%7."/>
      <w:lvlJc w:val="left"/>
      <w:pPr>
        <w:ind w:hanging="360" w:left="5891"/>
      </w:pPr>
      <w:rPr/>
    </w:lvl>
    <w:lvl w:ilvl="7" w:tplc="04190019">
      <w:start w:val="1"/>
      <w:numFmt w:val="lowerLetter"/>
      <w:suff w:val="tab"/>
      <w:lvlText w:val="%8."/>
      <w:lvlJc w:val="left"/>
      <w:pPr>
        <w:ind w:hanging="360" w:left="6611"/>
      </w:pPr>
      <w:rPr/>
    </w:lvl>
    <w:lvl w:ilvl="8" w:tplc="0419001B">
      <w:start w:val="1"/>
      <w:numFmt w:val="lowerRoman"/>
      <w:suff w:val="tab"/>
      <w:lvlText w:val="%9."/>
      <w:lvlJc w:val="right"/>
      <w:pPr>
        <w:ind w:hanging="180" w:left="7331"/>
      </w:pPr>
      <w:rPr/>
    </w:lvl>
  </w:abstractNum>
  <w:abstractNum w:abstractNumId="19">
    <w:nsid w:val="4F0F80B4"/>
    <w:multiLevelType w:val="hybridMultilevel"/>
    <w:lvl w:ilvl="0" w:tplc="D1B6CEB4">
      <w:start w:val="1"/>
      <w:numFmt w:val="decimal"/>
      <w:suff w:val="tab"/>
      <w:lvlText w:val="%1)"/>
      <w:lvlJc w:val="left"/>
      <w:pPr>
        <w:ind w:hanging="360" w:left="786"/>
      </w:pPr>
      <w:rPr>
        <w:color w:val="000000"/>
        <w:sz w:val="28"/>
      </w:rPr>
    </w:lvl>
    <w:lvl w:ilvl="1" w:tplc="04190019">
      <w:start w:val="1"/>
      <w:numFmt w:val="lowerLetter"/>
      <w:suff w:val="tab"/>
      <w:lvlText w:val="%2."/>
      <w:lvlJc w:val="left"/>
      <w:pPr>
        <w:ind w:hanging="360" w:left="1506"/>
      </w:pPr>
      <w:rPr>
        <w:color w:val="000000"/>
      </w:rPr>
    </w:lvl>
    <w:lvl w:ilvl="2" w:tplc="0419001B">
      <w:start w:val="1"/>
      <w:numFmt w:val="lowerRoman"/>
      <w:suff w:val="tab"/>
      <w:lvlText w:val="%3."/>
      <w:lvlJc w:val="right"/>
      <w:pPr>
        <w:ind w:hanging="180" w:left="2226"/>
      </w:pPr>
      <w:rPr>
        <w:color w:val="000000"/>
      </w:rPr>
    </w:lvl>
    <w:lvl w:ilvl="3" w:tplc="D1B6CEB4">
      <w:start w:val="1"/>
      <w:numFmt w:val="decimal"/>
      <w:suff w:val="tab"/>
      <w:lvlText w:val="%4."/>
      <w:lvlJc w:val="left"/>
      <w:pPr>
        <w:ind w:hanging="360" w:left="2946"/>
      </w:pPr>
      <w:rPr>
        <w:color w:val="000000"/>
      </w:rPr>
    </w:lvl>
    <w:lvl w:ilvl="4" w:tplc="04190019">
      <w:start w:val="1"/>
      <w:numFmt w:val="lowerLetter"/>
      <w:suff w:val="tab"/>
      <w:lvlText w:val="%5."/>
      <w:lvlJc w:val="left"/>
      <w:pPr>
        <w:ind w:hanging="360" w:left="3666"/>
      </w:pPr>
      <w:rPr>
        <w:color w:val="000000"/>
      </w:rPr>
    </w:lvl>
    <w:lvl w:ilvl="5" w:tplc="0419001B">
      <w:start w:val="1"/>
      <w:numFmt w:val="lowerRoman"/>
      <w:suff w:val="tab"/>
      <w:lvlText w:val="%6."/>
      <w:lvlJc w:val="right"/>
      <w:pPr>
        <w:ind w:hanging="180" w:left="4386"/>
      </w:pPr>
      <w:rPr>
        <w:color w:val="000000"/>
      </w:rPr>
    </w:lvl>
    <w:lvl w:ilvl="6" w:tplc="D1B6CEB4">
      <w:start w:val="1"/>
      <w:numFmt w:val="decimal"/>
      <w:suff w:val="tab"/>
      <w:lvlText w:val="%7."/>
      <w:lvlJc w:val="left"/>
      <w:pPr>
        <w:ind w:hanging="360" w:left="5106"/>
      </w:pPr>
      <w:rPr>
        <w:color w:val="000000"/>
      </w:rPr>
    </w:lvl>
    <w:lvl w:ilvl="7" w:tplc="04190019">
      <w:start w:val="1"/>
      <w:numFmt w:val="lowerLetter"/>
      <w:suff w:val="tab"/>
      <w:lvlText w:val="%8."/>
      <w:lvlJc w:val="left"/>
      <w:pPr>
        <w:ind w:hanging="360" w:left="5826"/>
      </w:pPr>
      <w:rPr>
        <w:color w:val="000000"/>
      </w:rPr>
    </w:lvl>
    <w:lvl w:ilvl="8" w:tplc="0419001B">
      <w:start w:val="1"/>
      <w:numFmt w:val="lowerRoman"/>
      <w:suff w:val="tab"/>
      <w:lvlText w:val="%9."/>
      <w:lvlJc w:val="right"/>
      <w:pPr>
        <w:ind w:hanging="180" w:left="6546"/>
      </w:pPr>
      <w:rPr>
        <w:color w:val="000000"/>
      </w:rPr>
    </w:lvl>
  </w:abstractNum>
  <w:abstractNum w:abstractNumId="20">
    <w:nsid w:val="54451569"/>
    <w:multiLevelType w:val="hybridMultilevel"/>
    <w:lvl w:ilvl="0" w:tplc="92821536">
      <w:start w:val="2"/>
      <w:numFmt w:val="decimal"/>
      <w:suff w:val="tab"/>
      <w:lvlText w:val="%1."/>
      <w:lvlJc w:val="left"/>
      <w:pPr>
        <w:ind w:hanging="360" w:left="1216"/>
      </w:pPr>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1">
    <w:nsid w:val="55625055"/>
    <w:multiLevelType w:val="hybridMultilevel"/>
    <w:lvl w:ilvl="0" w:tplc="0DC6E458">
      <w:start w:val="1"/>
      <w:numFmt w:val="decimal"/>
      <w:suff w:val="tab"/>
      <w:lvlText w:val="%1)"/>
      <w:lvlJc w:val="left"/>
      <w:pPr>
        <w:ind w:hanging="360" w:left="1216"/>
      </w:pPr>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2">
    <w:nsid w:val="62051F71"/>
    <w:multiLevelType w:val="hybridMultilevel"/>
    <w:lvl w:ilvl="0" w:tplc="9C840788">
      <w:start w:val="1"/>
      <w:numFmt w:val="decimal"/>
      <w:suff w:val="tab"/>
      <w:lvlText w:val="%1."/>
      <w:lvlJc w:val="left"/>
      <w:pPr>
        <w:ind w:hanging="390" w:left="1100"/>
      </w:pPr>
      <w:rPr/>
    </w:lvl>
    <w:lvl w:ilvl="1" w:tplc="04190019">
      <w:start w:val="1"/>
      <w:numFmt w:val="lowerLetter"/>
      <w:suff w:val="tab"/>
      <w:lvlText w:val="%2."/>
      <w:lvlJc w:val="left"/>
      <w:pPr>
        <w:ind w:hanging="360" w:left="1931"/>
      </w:pPr>
      <w:rPr/>
    </w:lvl>
    <w:lvl w:ilvl="2" w:tplc="0419001B">
      <w:start w:val="1"/>
      <w:numFmt w:val="lowerRoman"/>
      <w:suff w:val="tab"/>
      <w:lvlText w:val="%3."/>
      <w:lvlJc w:val="right"/>
      <w:pPr>
        <w:ind w:hanging="180" w:left="2651"/>
      </w:pPr>
      <w:rPr/>
    </w:lvl>
    <w:lvl w:ilvl="3" w:tplc="0419000F">
      <w:start w:val="1"/>
      <w:numFmt w:val="decimal"/>
      <w:suff w:val="tab"/>
      <w:lvlText w:val="%4."/>
      <w:lvlJc w:val="left"/>
      <w:pPr>
        <w:ind w:hanging="360" w:left="3371"/>
      </w:pPr>
      <w:rPr/>
    </w:lvl>
    <w:lvl w:ilvl="4" w:tplc="04190019">
      <w:start w:val="1"/>
      <w:numFmt w:val="lowerLetter"/>
      <w:suff w:val="tab"/>
      <w:lvlText w:val="%5."/>
      <w:lvlJc w:val="left"/>
      <w:pPr>
        <w:ind w:hanging="360" w:left="4091"/>
      </w:pPr>
      <w:rPr/>
    </w:lvl>
    <w:lvl w:ilvl="5" w:tplc="0419001B">
      <w:start w:val="1"/>
      <w:numFmt w:val="lowerRoman"/>
      <w:suff w:val="tab"/>
      <w:lvlText w:val="%6."/>
      <w:lvlJc w:val="right"/>
      <w:pPr>
        <w:ind w:hanging="180" w:left="4811"/>
      </w:pPr>
      <w:rPr/>
    </w:lvl>
    <w:lvl w:ilvl="6" w:tplc="0419000F">
      <w:start w:val="1"/>
      <w:numFmt w:val="decimal"/>
      <w:suff w:val="tab"/>
      <w:lvlText w:val="%7."/>
      <w:lvlJc w:val="left"/>
      <w:pPr>
        <w:ind w:hanging="360" w:left="5531"/>
      </w:pPr>
      <w:rPr/>
    </w:lvl>
    <w:lvl w:ilvl="7" w:tplc="04190019">
      <w:start w:val="1"/>
      <w:numFmt w:val="lowerLetter"/>
      <w:suff w:val="tab"/>
      <w:lvlText w:val="%8."/>
      <w:lvlJc w:val="left"/>
      <w:pPr>
        <w:ind w:hanging="360" w:left="6251"/>
      </w:pPr>
      <w:rPr/>
    </w:lvl>
    <w:lvl w:ilvl="8" w:tplc="0419001B">
      <w:start w:val="1"/>
      <w:numFmt w:val="lowerRoman"/>
      <w:suff w:val="tab"/>
      <w:lvlText w:val="%9."/>
      <w:lvlJc w:val="right"/>
      <w:pPr>
        <w:ind w:hanging="180" w:left="6971"/>
      </w:pPr>
      <w:rPr/>
    </w:lvl>
  </w:abstractNum>
  <w:abstractNum w:abstractNumId="23">
    <w:nsid w:val="661B787B"/>
    <w:multiLevelType w:val="hybridMultilevel"/>
    <w:lvl w:ilvl="0" w:tplc="04AC7362">
      <w:start w:val="1"/>
      <w:numFmt w:val="decimal"/>
      <w:suff w:val="tab"/>
      <w:lvlText w:val="%1."/>
      <w:lvlJc w:val="left"/>
      <w:pPr>
        <w:ind w:hanging="360" w:left="1216"/>
      </w:pPr>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4">
    <w:nsid w:val="6A731C10"/>
    <w:multiLevelType w:val="hybridMultilevel"/>
    <w:lvl w:ilvl="0" w:tplc="98A0D636">
      <w:start w:val="1"/>
      <w:numFmt w:val="decimal"/>
      <w:suff w:val="tab"/>
      <w:lvlText w:val="%1."/>
      <w:lvlJc w:val="left"/>
      <w:pPr>
        <w:ind w:hanging="360" w:left="1070"/>
      </w:pPr>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5">
    <w:nsid w:val="6EC012BF"/>
    <w:multiLevelType w:val="hybridMultilevel"/>
    <w:lvl w:ilvl="0" w:tplc="539850FE">
      <w:start w:val="1"/>
      <w:numFmt w:val="decimal"/>
      <w:suff w:val="tab"/>
      <w:lvlText w:val="%1."/>
      <w:lvlJc w:val="left"/>
      <w:pPr>
        <w:ind w:hanging="360" w:left="1216"/>
      </w:pPr>
      <w:rPr>
        <w:color w:val="000000"/>
      </w:rPr>
    </w:lvl>
    <w:lvl w:ilvl="1" w:tplc="04190019">
      <w:start w:val="1"/>
      <w:numFmt w:val="lowerLetter"/>
      <w:suff w:val="tab"/>
      <w:lvlText w:val="%2."/>
      <w:lvlJc w:val="left"/>
      <w:pPr>
        <w:ind w:hanging="360" w:left="1936"/>
      </w:pPr>
      <w:rPr/>
    </w:lvl>
    <w:lvl w:ilvl="2" w:tplc="0419001B">
      <w:start w:val="1"/>
      <w:numFmt w:val="lowerRoman"/>
      <w:suff w:val="tab"/>
      <w:lvlText w:val="%3."/>
      <w:lvlJc w:val="right"/>
      <w:pPr>
        <w:ind w:hanging="180" w:left="2656"/>
      </w:pPr>
      <w:rPr/>
    </w:lvl>
    <w:lvl w:ilvl="3" w:tplc="0419000F">
      <w:start w:val="1"/>
      <w:numFmt w:val="decimal"/>
      <w:suff w:val="tab"/>
      <w:lvlText w:val="%4."/>
      <w:lvlJc w:val="left"/>
      <w:pPr>
        <w:ind w:hanging="360" w:left="3376"/>
      </w:pPr>
      <w:rPr/>
    </w:lvl>
    <w:lvl w:ilvl="4" w:tplc="04190019">
      <w:start w:val="1"/>
      <w:numFmt w:val="lowerLetter"/>
      <w:suff w:val="tab"/>
      <w:lvlText w:val="%5."/>
      <w:lvlJc w:val="left"/>
      <w:pPr>
        <w:ind w:hanging="360" w:left="4096"/>
      </w:pPr>
      <w:rPr/>
    </w:lvl>
    <w:lvl w:ilvl="5" w:tplc="0419001B">
      <w:start w:val="1"/>
      <w:numFmt w:val="lowerRoman"/>
      <w:suff w:val="tab"/>
      <w:lvlText w:val="%6."/>
      <w:lvlJc w:val="right"/>
      <w:pPr>
        <w:ind w:hanging="180" w:left="4816"/>
      </w:pPr>
      <w:rPr/>
    </w:lvl>
    <w:lvl w:ilvl="6" w:tplc="0419000F">
      <w:start w:val="1"/>
      <w:numFmt w:val="decimal"/>
      <w:suff w:val="tab"/>
      <w:lvlText w:val="%7."/>
      <w:lvlJc w:val="left"/>
      <w:pPr>
        <w:ind w:hanging="360" w:left="5536"/>
      </w:pPr>
      <w:rPr/>
    </w:lvl>
    <w:lvl w:ilvl="7" w:tplc="04190019">
      <w:start w:val="1"/>
      <w:numFmt w:val="lowerLetter"/>
      <w:suff w:val="tab"/>
      <w:lvlText w:val="%8."/>
      <w:lvlJc w:val="left"/>
      <w:pPr>
        <w:ind w:hanging="360" w:left="6256"/>
      </w:pPr>
      <w:rPr/>
    </w:lvl>
    <w:lvl w:ilvl="8" w:tplc="0419001B">
      <w:start w:val="1"/>
      <w:numFmt w:val="lowerRoman"/>
      <w:suff w:val="tab"/>
      <w:lvlText w:val="%9."/>
      <w:lvlJc w:val="right"/>
      <w:pPr>
        <w:ind w:hanging="180" w:left="6976"/>
      </w:pPr>
      <w:rPr/>
    </w:lvl>
  </w:abstractNum>
  <w:abstractNum w:abstractNumId="26">
    <w:nsid w:val="733920FD"/>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2"/>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27">
    <w:nsid w:val="768B745E"/>
    <w:multiLevelType w:val="hybridMultilevel"/>
    <w:lvl w:ilvl="0" w:tplc="0419000F">
      <w:start w:val="1"/>
      <w:numFmt w:val="decimal"/>
      <w:suff w:val="tab"/>
      <w:lvlText w:val="%1."/>
      <w:lvlJc w:val="left"/>
      <w:pPr>
        <w:ind w:hanging="360" w:left="1571"/>
      </w:pPr>
      <w:rPr/>
    </w:lvl>
    <w:lvl w:ilvl="1" w:tplc="04190019">
      <w:start w:val="1"/>
      <w:numFmt w:val="lowerLetter"/>
      <w:suff w:val="tab"/>
      <w:lvlText w:val="%2."/>
      <w:lvlJc w:val="left"/>
      <w:pPr>
        <w:ind w:hanging="360" w:left="2291"/>
      </w:pPr>
      <w:rPr/>
    </w:lvl>
    <w:lvl w:ilvl="2" w:tplc="0419001B">
      <w:start w:val="1"/>
      <w:numFmt w:val="lowerRoman"/>
      <w:suff w:val="tab"/>
      <w:lvlText w:val="%3."/>
      <w:lvlJc w:val="right"/>
      <w:pPr>
        <w:ind w:hanging="180" w:left="3011"/>
      </w:pPr>
      <w:rPr/>
    </w:lvl>
    <w:lvl w:ilvl="3" w:tplc="0419000F">
      <w:start w:val="1"/>
      <w:numFmt w:val="decimal"/>
      <w:suff w:val="tab"/>
      <w:lvlText w:val="%4."/>
      <w:lvlJc w:val="left"/>
      <w:pPr>
        <w:ind w:hanging="360" w:left="3731"/>
      </w:pPr>
      <w:rPr/>
    </w:lvl>
    <w:lvl w:ilvl="4" w:tplc="04190019">
      <w:start w:val="1"/>
      <w:numFmt w:val="lowerLetter"/>
      <w:suff w:val="tab"/>
      <w:lvlText w:val="%5."/>
      <w:lvlJc w:val="left"/>
      <w:pPr>
        <w:ind w:hanging="360" w:left="4451"/>
      </w:pPr>
      <w:rPr/>
    </w:lvl>
    <w:lvl w:ilvl="5" w:tplc="0419001B">
      <w:start w:val="1"/>
      <w:numFmt w:val="lowerRoman"/>
      <w:suff w:val="tab"/>
      <w:lvlText w:val="%6."/>
      <w:lvlJc w:val="right"/>
      <w:pPr>
        <w:ind w:hanging="180" w:left="5171"/>
      </w:pPr>
      <w:rPr/>
    </w:lvl>
    <w:lvl w:ilvl="6" w:tplc="0419000F">
      <w:start w:val="1"/>
      <w:numFmt w:val="decimal"/>
      <w:suff w:val="tab"/>
      <w:lvlText w:val="%7."/>
      <w:lvlJc w:val="left"/>
      <w:pPr>
        <w:ind w:hanging="360" w:left="5891"/>
      </w:pPr>
      <w:rPr/>
    </w:lvl>
    <w:lvl w:ilvl="7" w:tplc="04190019">
      <w:start w:val="1"/>
      <w:numFmt w:val="lowerLetter"/>
      <w:suff w:val="tab"/>
      <w:lvlText w:val="%8."/>
      <w:lvlJc w:val="left"/>
      <w:pPr>
        <w:ind w:hanging="360" w:left="6611"/>
      </w:pPr>
      <w:rPr/>
    </w:lvl>
    <w:lvl w:ilvl="8" w:tplc="0419001B">
      <w:start w:val="1"/>
      <w:numFmt w:val="lowerRoman"/>
      <w:suff w:val="tab"/>
      <w:lvlText w:val="%9."/>
      <w:lvlJc w:val="right"/>
      <w:pPr>
        <w:ind w:hanging="180" w:left="7331"/>
      </w:pPr>
      <w:rPr/>
    </w:lvl>
  </w:abstractNum>
  <w:abstractNum w:abstractNumId="28">
    <w:nsid w:val="7B2625F8"/>
    <w:multiLevelType w:val="hybridMultilevel"/>
    <w:lvl w:ilvl="0" w:tplc="73BC7F70">
      <w:start w:val="1"/>
      <w:numFmt w:val="decimal"/>
      <w:suff w:val="tab"/>
      <w:lvlText w:val="%1."/>
      <w:lvlJc w:val="left"/>
      <w:pPr>
        <w:ind w:hanging="360" w:left="1215"/>
      </w:pPr>
      <w:rPr>
        <w:color w:val="000000"/>
      </w:rPr>
    </w:lvl>
    <w:lvl w:ilvl="1" w:tplc="04190019">
      <w:start w:val="1"/>
      <w:numFmt w:val="lowerLetter"/>
      <w:suff w:val="tab"/>
      <w:lvlText w:val="%2."/>
      <w:lvlJc w:val="left"/>
      <w:pPr>
        <w:ind w:hanging="360" w:left="1935"/>
      </w:pPr>
      <w:rPr/>
    </w:lvl>
    <w:lvl w:ilvl="2" w:tplc="0419001B">
      <w:start w:val="1"/>
      <w:numFmt w:val="lowerRoman"/>
      <w:suff w:val="tab"/>
      <w:lvlText w:val="%3."/>
      <w:lvlJc w:val="right"/>
      <w:pPr>
        <w:ind w:hanging="180" w:left="2655"/>
      </w:pPr>
      <w:rPr/>
    </w:lvl>
    <w:lvl w:ilvl="3" w:tplc="0419000F">
      <w:start w:val="1"/>
      <w:numFmt w:val="decimal"/>
      <w:suff w:val="tab"/>
      <w:lvlText w:val="%4."/>
      <w:lvlJc w:val="left"/>
      <w:pPr>
        <w:ind w:hanging="360" w:left="3375"/>
      </w:pPr>
      <w:rPr/>
    </w:lvl>
    <w:lvl w:ilvl="4" w:tplc="04190019">
      <w:start w:val="1"/>
      <w:numFmt w:val="lowerLetter"/>
      <w:suff w:val="tab"/>
      <w:lvlText w:val="%5."/>
      <w:lvlJc w:val="left"/>
      <w:pPr>
        <w:ind w:hanging="360" w:left="4095"/>
      </w:pPr>
      <w:rPr/>
    </w:lvl>
    <w:lvl w:ilvl="5" w:tplc="0419001B">
      <w:start w:val="1"/>
      <w:numFmt w:val="lowerRoman"/>
      <w:suff w:val="tab"/>
      <w:lvlText w:val="%6."/>
      <w:lvlJc w:val="right"/>
      <w:pPr>
        <w:ind w:hanging="180" w:left="4815"/>
      </w:pPr>
      <w:rPr/>
    </w:lvl>
    <w:lvl w:ilvl="6" w:tplc="0419000F">
      <w:start w:val="1"/>
      <w:numFmt w:val="decimal"/>
      <w:suff w:val="tab"/>
      <w:lvlText w:val="%7."/>
      <w:lvlJc w:val="left"/>
      <w:pPr>
        <w:ind w:hanging="360" w:left="5535"/>
      </w:pPr>
      <w:rPr/>
    </w:lvl>
    <w:lvl w:ilvl="7" w:tplc="04190019">
      <w:start w:val="1"/>
      <w:numFmt w:val="lowerLetter"/>
      <w:suff w:val="tab"/>
      <w:lvlText w:val="%8."/>
      <w:lvlJc w:val="left"/>
      <w:pPr>
        <w:ind w:hanging="360" w:left="6255"/>
      </w:pPr>
      <w:rPr/>
    </w:lvl>
    <w:lvl w:ilvl="8" w:tplc="0419001B">
      <w:start w:val="1"/>
      <w:numFmt w:val="lowerRoman"/>
      <w:suff w:val="tab"/>
      <w:lvlText w:val="%9."/>
      <w:lvlJc w:val="right"/>
      <w:pPr>
        <w:ind w:hanging="180" w:left="6975"/>
      </w:pPr>
      <w:rPr/>
    </w:lvl>
  </w:abstractNum>
  <w:abstractNum w:abstractNumId="29">
    <w:nsid w:val="7E95787E"/>
    <w:multiLevelType w:val="multilevel"/>
    <w:lvl w:ilvl="0">
      <w:start w:val="1"/>
      <w:numFmt w:val="decimal"/>
      <w:suff w:val="tab"/>
      <w:lvlText w:val="%1."/>
      <w:lvlJc w:val="left"/>
      <w:pPr>
        <w:ind w:hanging="360" w:left="720"/>
      </w:pPr>
      <w:rPr/>
    </w:lvl>
    <w:lvl w:ilvl="1">
      <w:start w:val="1"/>
      <w:numFmt w:val="decimal"/>
      <w:suff w:val="tab"/>
      <w:lvlText w:val="%2."/>
      <w:lvlJc w:val="left"/>
      <w:pPr>
        <w:ind w:hanging="360" w:left="1440"/>
      </w:pPr>
      <w:rPr/>
    </w:lvl>
    <w:lvl w:ilvl="2">
      <w:start w:val="1"/>
      <w:numFmt w:val="decimal"/>
      <w:suff w:val="tab"/>
      <w:lvlText w:val="%3."/>
      <w:lvlJc w:val="left"/>
      <w:pPr>
        <w:ind w:hanging="360" w:left="2160"/>
      </w:pPr>
      <w:rPr/>
    </w:lvl>
    <w:lvl w:ilvl="3">
      <w:start w:val="1"/>
      <w:numFmt w:val="decimal"/>
      <w:suff w:val="tab"/>
      <w:lvlText w:val="%4."/>
      <w:lvlJc w:val="left"/>
      <w:pPr>
        <w:ind w:hanging="360" w:left="2880"/>
      </w:pPr>
      <w:rPr/>
    </w:lvl>
    <w:lvl w:ilvl="4">
      <w:start w:val="1"/>
      <w:numFmt w:val="decimal"/>
      <w:suff w:val="tab"/>
      <w:lvlText w:val="%5."/>
      <w:lvlJc w:val="left"/>
      <w:pPr>
        <w:ind w:hanging="360" w:left="3600"/>
      </w:pPr>
      <w:rPr/>
    </w:lvl>
    <w:lvl w:ilvl="5">
      <w:start w:val="1"/>
      <w:numFmt w:val="decimal"/>
      <w:suff w:val="tab"/>
      <w:lvlText w:val="%6."/>
      <w:lvlJc w:val="left"/>
      <w:pPr>
        <w:ind w:hanging="360" w:left="4320"/>
      </w:pPr>
      <w:rPr/>
    </w:lvl>
    <w:lvl w:ilvl="6">
      <w:start w:val="1"/>
      <w:numFmt w:val="decimal"/>
      <w:suff w:val="tab"/>
      <w:lvlText w:val="%7."/>
      <w:lvlJc w:val="left"/>
      <w:pPr>
        <w:ind w:hanging="360" w:left="5040"/>
      </w:pPr>
      <w:rPr/>
    </w:lvl>
    <w:lvl w:ilvl="7">
      <w:start w:val="1"/>
      <w:numFmt w:val="decimal"/>
      <w:suff w:val="tab"/>
      <w:lvlText w:val="%8."/>
      <w:lvlJc w:val="left"/>
      <w:pPr>
        <w:ind w:hanging="360" w:left="5760"/>
      </w:pPr>
      <w:rPr/>
    </w:lvl>
    <w:lvl w:ilvl="8">
      <w:start w:val="1"/>
      <w:numFmt w:val="decimal"/>
      <w:suff w:val="tab"/>
      <w:lvlText w:val="%9."/>
      <w:lvlJc w:val="left"/>
      <w:pPr>
        <w:ind w:hanging="360" w:left="6480"/>
      </w:pPr>
      <w:rPr/>
    </w:lvl>
  </w:abstractNum>
  <w:abstractNum w:abstractNumId="30">
    <w:nsid w:val="7F00734D"/>
    <w:multiLevelType w:val="hybridMultilevel"/>
    <w:lvl w:ilvl="0" w:tplc="0419000F">
      <w:start w:val="1"/>
      <w:numFmt w:val="decimal"/>
      <w:suff w:val="tab"/>
      <w:lvlText w:val="%1."/>
      <w:lvlJc w:val="left"/>
      <w:pPr>
        <w:ind w:hanging="360" w:left="720"/>
      </w:pPr>
      <w:rPr/>
    </w:lvl>
    <w:lvl w:ilvl="1" w:tplc="04190019">
      <w:start w:val="1"/>
      <w:numFmt w:val="lowerLetter"/>
      <w:suff w:val="tab"/>
      <w:lvlText w:val="%2."/>
      <w:lvlJc w:val="left"/>
      <w:pPr>
        <w:ind w:hanging="360" w:left="1440"/>
      </w:pPr>
      <w:rPr/>
    </w:lvl>
    <w:lvl w:ilvl="2" w:tplc="EAA0C048">
      <w:start w:val="1"/>
      <w:numFmt w:val="decimal"/>
      <w:suff w:val="tab"/>
      <w:lvlText w:val="%3)"/>
      <w:lvlJc w:val="left"/>
      <w:pPr>
        <w:ind w:hanging="450" w:left="2430"/>
      </w:pPr>
      <w:rPr/>
    </w:lvl>
    <w:lvl w:ilvl="3" w:tplc="0419000F">
      <w:start w:val="1"/>
      <w:numFmt w:val="decimal"/>
      <w:suff w:val="tab"/>
      <w:lvlText w:val="%4."/>
      <w:lvlJc w:val="left"/>
      <w:pPr>
        <w:ind w:hanging="360" w:left="2880"/>
      </w:pPr>
      <w:rPr/>
    </w:lvl>
    <w:lvl w:ilvl="4" w:tplc="04190019">
      <w:start w:val="1"/>
      <w:numFmt w:val="lowerLetter"/>
      <w:suff w:val="tab"/>
      <w:lvlText w:val="%5."/>
      <w:lvlJc w:val="left"/>
      <w:pPr>
        <w:ind w:hanging="360" w:left="3600"/>
      </w:pPr>
      <w:rPr/>
    </w:lvl>
    <w:lvl w:ilvl="5" w:tplc="0419001B">
      <w:start w:val="1"/>
      <w:numFmt w:val="lowerRoman"/>
      <w:suff w:val="tab"/>
      <w:lvlText w:val="%6."/>
      <w:lvlJc w:val="right"/>
      <w:pPr>
        <w:ind w:hanging="180" w:left="4320"/>
      </w:pPr>
      <w:rPr/>
    </w:lvl>
    <w:lvl w:ilvl="6" w:tplc="0419000F">
      <w:start w:val="1"/>
      <w:numFmt w:val="decimal"/>
      <w:suff w:val="tab"/>
      <w:lvlText w:val="%7."/>
      <w:lvlJc w:val="left"/>
      <w:pPr>
        <w:ind w:hanging="360" w:left="5040"/>
      </w:pPr>
      <w:rPr/>
    </w:lvl>
    <w:lvl w:ilvl="7" w:tplc="04190019">
      <w:start w:val="1"/>
      <w:numFmt w:val="lowerLetter"/>
      <w:suff w:val="tab"/>
      <w:lvlText w:val="%8."/>
      <w:lvlJc w:val="left"/>
      <w:pPr>
        <w:ind w:hanging="360" w:left="5760"/>
      </w:pPr>
      <w:rPr/>
    </w:lvl>
    <w:lvl w:ilvl="8" w:tplc="0419001B">
      <w:start w:val="1"/>
      <w:numFmt w:val="lowerRoman"/>
      <w:suff w:val="tab"/>
      <w:lvlText w:val="%9."/>
      <w:lvlJc w:val="right"/>
      <w:pPr>
        <w:ind w:hanging="180" w:left="6480"/>
      </w:pPr>
      <w:rPr/>
    </w:lvl>
  </w:abstractNum>
  <w:num w:numId="1">
    <w:abstractNumId w:val="5"/>
  </w:num>
  <w:num w:numId="2">
    <w:abstractNumId w:val="26"/>
  </w:num>
  <w:num w:numId="3">
    <w:abstractNumId w:val="15"/>
  </w:num>
  <w:num w:numId="4">
    <w:abstractNumId w:val="0"/>
  </w:num>
  <w:num w:numId="5">
    <w:abstractNumId w:val="29"/>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21"/>
  </w:num>
  <w:num w:numId="9">
    <w:abstractNumId w:val="23"/>
  </w:num>
  <w:num w:numId="10">
    <w:abstractNumId w:val="22"/>
  </w:num>
  <w:num w:numId="11">
    <w:abstractNumId w:val="20"/>
  </w:num>
  <w:num w:numId="12">
    <w:abstractNumId w:val="24"/>
  </w:num>
  <w:num w:numId="13">
    <w:abstractNumId w:val="7"/>
  </w:num>
  <w:num w:numId="14">
    <w:abstractNumId w:val="10"/>
  </w:num>
  <w:num w:numId="15">
    <w:abstractNumId w:val="2"/>
  </w:num>
  <w:num w:numId="16">
    <w:abstractNumId w:val="9"/>
  </w:num>
  <w:num w:numId="17">
    <w:abstractNumId w:val="28"/>
  </w:num>
  <w:num w:numId="18">
    <w:abstractNumId w:val="14"/>
  </w:num>
  <w:num w:numId="19">
    <w:abstractNumId w:val="25"/>
  </w:num>
  <w:num w:numId="20">
    <w:abstractNumId w:val="6"/>
  </w:num>
  <w:num w:numId="21">
    <w:abstractNumId w:val="27"/>
  </w:num>
  <w:num w:numId="22">
    <w:abstractNumId w:val="18"/>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30"/>
  </w:num>
  <w:num w:numId="26">
    <w:abstractNumId w:val="13"/>
  </w:num>
  <w:num w:numId="27">
    <w:abstractNumId w:val="17"/>
  </w:num>
  <w:num w:numId="28">
    <w:abstractNumId w:val="3"/>
  </w:num>
  <w:num w:numId="29">
    <w:abstractNumId w:val="1"/>
  </w:num>
  <w:num w:numId="30">
    <w:abstractNumId w:val="4"/>
  </w:num>
  <w:num w:numId="31">
    <w:abstractNumId w:val="12"/>
  </w:num>
  <w:num w:numId="32">
    <w:abstractNumId w:val="8"/>
  </w:num>
  <w:num w:numId="33">
    <w:abstractNumId w:val="11"/>
  </w:num>
</w:numbering>
</file>

<file path=word/settings.xml><?xml version="1.0" encoding="utf-8"?>
<w:settings xmlns:w="http://schemas.openxmlformats.org/wordprocessingml/2006/main">
  <w:displayBackgroundShape w:val="0"/>
  <w:defaultTabStop w:val="708"/>
  <w:autoHyphenation w:val="0"/>
  <w:evenAndOddHeaders w:val="0"/>
  <w:clrSchemeMapping/>
</w:settings>
</file>

<file path=word/styles.xml><?xml version="1.0" encoding="utf-8"?>
<w:styles xmlns:w="http://schemas.openxmlformats.org/wordprocessingml/2006/main">
  <w:docDefaults>
    <w:rPrDefault>
      <w:rPr>
        <w:rFonts w:ascii="Calibri" w:hAnsi="Calibri"/>
        <w:b w:val="0"/>
        <w:i w:val="0"/>
        <w:caps w:val="0"/>
        <w:strike w:val="0"/>
        <w:noProof w:val="0"/>
        <w:vanish w:val="0"/>
        <w:color w:val="000000"/>
        <w:sz w:val="22"/>
        <w:u w:val="none"/>
        <w:vertAlign w:val="baseline"/>
        <w:lang w:val="ru-RU" w:bidi="ar-SA" w:eastAsia="en-US"/>
      </w:rPr>
    </w:rPrDefault>
    <w:pPrDefault>
      <w:pPr>
        <w:keepNext w:val="0"/>
        <w:keepLines w:val="0"/>
        <w:widowControl w:val="1"/>
        <w:suppressLineNumbers w:val="0"/>
        <w:shd w:val="clear" w:fill="auto"/>
        <w:suppressAutoHyphens w:val="0"/>
        <w:spacing w:lineRule="auto" w:line="259" w:before="0" w:after="160" w:beforeAutospacing="0" w:afterAutospacing="0"/>
        <w:ind w:firstLine="0" w:left="0" w:right="0"/>
        <w:contextualSpacing w:val="0"/>
        <w:jc w:val="left"/>
      </w:pPr>
    </w:pPrDefault>
  </w:docDefaults>
  <w:style w:type="paragraph" w:styleId="P0" w:default="1">
    <w:name w:val="Normal"/>
    <w:qFormat/>
    <w:pPr/>
    <w:rPr/>
  </w:style>
  <w:style w:type="paragraph" w:styleId="P1">
    <w:name w:val="heading 1"/>
    <w:basedOn w:val="P0"/>
    <w:link w:val="C3"/>
    <w:qFormat/>
    <w:pPr>
      <w:keepNext w:val="1"/>
      <w:spacing w:lineRule="auto" w:line="240" w:before="100" w:after="119" w:beforeAutospacing="1" w:afterAutospacing="0"/>
      <w:outlineLvl w:val="0"/>
    </w:pPr>
    <w:rPr>
      <w:rFonts w:ascii="Times New Roman" w:hAnsi="Times New Roman"/>
      <w:b w:val="1"/>
      <w:sz w:val="48"/>
      <w:lang w:eastAsia="ru-RU"/>
    </w:rPr>
  </w:style>
  <w:style w:type="paragraph" w:styleId="P2">
    <w:name w:val="Normal (Web)"/>
    <w:basedOn w:val="P0"/>
    <w:semiHidden/>
    <w:pPr>
      <w:spacing w:lineRule="auto" w:line="240" w:before="100" w:after="119" w:beforeAutospacing="1" w:afterAutospacing="0"/>
    </w:pPr>
    <w:rPr>
      <w:rFonts w:ascii="Times New Roman" w:hAnsi="Times New Roman"/>
      <w:sz w:val="24"/>
      <w:lang w:eastAsia="ru-RU"/>
    </w:rPr>
  </w:style>
  <w:style w:type="paragraph" w:styleId="P3">
    <w:name w:val="List Paragraph"/>
    <w:basedOn w:val="P0"/>
    <w:link w:val="C9"/>
    <w:qFormat/>
    <w:pPr>
      <w:ind w:left="720"/>
      <w:contextualSpacing w:val="1"/>
    </w:pPr>
    <w:rPr/>
  </w:style>
  <w:style w:type="paragraph" w:styleId="P4">
    <w:name w:val="Balloon Text"/>
    <w:basedOn w:val="P0"/>
    <w:link w:val="C4"/>
    <w:semiHidden/>
    <w:pPr>
      <w:spacing w:lineRule="auto" w:line="240" w:after="0" w:beforeAutospacing="0" w:afterAutospacing="0"/>
    </w:pPr>
    <w:rPr>
      <w:rFonts w:ascii="Segoe UI" w:hAnsi="Segoe UI"/>
      <w:sz w:val="18"/>
    </w:rPr>
  </w:style>
  <w:style w:type="paragraph" w:styleId="P5">
    <w:name w:val="header"/>
    <w:basedOn w:val="P0"/>
    <w:link w:val="C5"/>
    <w:pPr>
      <w:tabs>
        <w:tab w:val="center" w:pos="4677" w:leader="none"/>
        <w:tab w:val="right" w:pos="9355" w:leader="none"/>
      </w:tabs>
      <w:spacing w:lineRule="auto" w:line="240" w:after="0" w:beforeAutospacing="0" w:afterAutospacing="0"/>
    </w:pPr>
    <w:rPr/>
  </w:style>
  <w:style w:type="paragraph" w:styleId="P6">
    <w:name w:val="footer"/>
    <w:basedOn w:val="P0"/>
    <w:link w:val="C6"/>
    <w:pPr>
      <w:tabs>
        <w:tab w:val="center" w:pos="4677" w:leader="none"/>
        <w:tab w:val="right" w:pos="9355" w:leader="none"/>
      </w:tabs>
      <w:spacing w:lineRule="auto" w:line="240" w:after="0" w:beforeAutospacing="0" w:afterAutospacing="0"/>
    </w:pPr>
    <w:rPr/>
  </w:style>
  <w:style w:type="paragraph" w:styleId="P7">
    <w:name w:val="Default"/>
    <w:pPr>
      <w:spacing w:lineRule="auto" w:line="240" w:after="0" w:beforeAutospacing="0" w:afterAutospacing="0"/>
    </w:pPr>
    <w:rPr>
      <w:rFonts w:ascii="Times New Roman" w:hAnsi="Times New Roman"/>
      <w:color w:val="000000"/>
      <w:sz w:val="24"/>
    </w:rPr>
  </w:style>
  <w:style w:type="paragraph" w:styleId="P8">
    <w:name w:val="Оceceбe1e1ыfbfbчf7f7нededыfbfbйe9e9"/>
    <w:basedOn w:val="P0"/>
    <w:pPr>
      <w:spacing w:lineRule="auto" w:line="240" w:after="0" w:beforeAutospacing="0" w:afterAutospacing="0"/>
    </w:pPr>
    <w:rPr>
      <w:rFonts w:ascii="Times New Roman" w:hAnsi="Times New Roman"/>
      <w:sz w:val="24"/>
      <w:lang w:eastAsia="ru-RU"/>
    </w:rPr>
  </w:style>
  <w:style w:type="paragraph" w:styleId="P9">
    <w:name w:val="Без интервала1"/>
    <w:basedOn w:val="P0"/>
    <w:qFormat/>
    <w:pPr>
      <w:spacing w:lineRule="auto" w:line="240" w:after="192" w:beforeAutospacing="0" w:afterAutospacing="0"/>
    </w:pPr>
    <w:rPr>
      <w:rFonts w:ascii="Times New Roman" w:hAnsi="Times New Roman"/>
      <w:noProof w:val="1"/>
      <w:color w:val="000000"/>
      <w:sz w:val="24"/>
      <w:lang w:eastAsia="ru-RU"/>
    </w:rPr>
  </w:style>
  <w:style w:type="character" w:styleId="C0" w:default="1">
    <w:name w:val="Default Paragraph Font"/>
    <w:semiHidden/>
    <w:rPr/>
  </w:style>
  <w:style w:type="character" w:styleId="C1">
    <w:name w:val="Line Number"/>
    <w:basedOn w:val="C0"/>
    <w:semiHidden/>
    <w:rPr/>
  </w:style>
  <w:style w:type="character" w:styleId="C2">
    <w:name w:val="Hyperlink"/>
    <w:basedOn w:val="C0"/>
    <w:rPr>
      <w:color w:val="000080"/>
      <w:u w:val="single"/>
    </w:rPr>
  </w:style>
  <w:style w:type="character" w:styleId="C3">
    <w:name w:val="Заголовок 1 Знак"/>
    <w:basedOn w:val="C0"/>
    <w:link w:val="P1"/>
    <w:rPr>
      <w:rFonts w:ascii="Times New Roman" w:hAnsi="Times New Roman"/>
      <w:b w:val="1"/>
      <w:sz w:val="48"/>
      <w:lang w:eastAsia="ru-RU"/>
    </w:rPr>
  </w:style>
  <w:style w:type="character" w:styleId="C4">
    <w:name w:val="Текст выноски Знак"/>
    <w:basedOn w:val="C0"/>
    <w:link w:val="P4"/>
    <w:semiHidden/>
    <w:rPr>
      <w:rFonts w:ascii="Segoe UI" w:hAnsi="Segoe UI"/>
      <w:sz w:val="18"/>
    </w:rPr>
  </w:style>
  <w:style w:type="character" w:styleId="C5">
    <w:name w:val="Верхний колонтитул Знак"/>
    <w:basedOn w:val="C0"/>
    <w:link w:val="P5"/>
    <w:rPr/>
  </w:style>
  <w:style w:type="character" w:styleId="C6">
    <w:name w:val="Нижний колонтитул Знак"/>
    <w:basedOn w:val="C0"/>
    <w:link w:val="P6"/>
    <w:rPr/>
  </w:style>
  <w:style w:type="character" w:styleId="C7">
    <w:name w:val="line number"/>
    <w:basedOn w:val="C0"/>
    <w:rPr>
      <w:rFonts w:ascii="Times New Roman" w:hAnsi="Times New Roman"/>
      <w:color w:val="000000"/>
    </w:rPr>
  </w:style>
  <w:style w:type="character" w:styleId="C8">
    <w:name w:val="blk"/>
    <w:basedOn w:val="C0"/>
    <w:rPr/>
  </w:style>
  <w:style w:type="character" w:styleId="C9">
    <w:name w:val="Абзац списка Знак"/>
    <w:link w:val="P3"/>
    <w:rPr/>
  </w:style>
  <w:style w:type="character" w:styleId="C10">
    <w:name w:val="cardmaininfo__content"/>
    <w:basedOn w:val="C0"/>
    <w:rPr/>
  </w:style>
  <w:style w:type="character" w:styleId="C11">
    <w:name w:val="navbreadcrumb__text"/>
    <w:basedOn w:val="C0"/>
    <w:rPr/>
  </w:style>
  <w:style w:type="character" w:styleId="C12">
    <w:name w:val="section__title"/>
    <w:basedOn w:val="C0"/>
    <w:rPr/>
  </w:style>
  <w:style w:type="character" w:styleId="C13">
    <w:name w:val="Strong"/>
    <w:basedOn w:val="C0"/>
    <w:qFormat/>
    <w:rPr>
      <w:b w:val="1"/>
    </w:rPr>
  </w:style>
  <w:style w:type="character" w:styleId="C14">
    <w:name w:val="cardmaininfo__purchaselink"/>
    <w:basedOn w:val="C0"/>
    <w:rPr/>
  </w:style>
  <w:style w:type="character" w:styleId="C15">
    <w:name w:val="Font Style11"/>
    <w:basedOn w:val="C0"/>
    <w:rPr>
      <w:rFonts w:ascii="Times New Roman" w:hAnsi="Times New Roman"/>
      <w:sz w:val="22"/>
    </w:rPr>
  </w:style>
  <w:style w:type="character" w:styleId="C16">
    <w:name w:val="Font Style13"/>
    <w:basedOn w:val="C0"/>
    <w:rPr>
      <w:rFonts w:ascii="Times New Roman" w:hAnsi="Times New Roman"/>
      <w:b w:val="1"/>
      <w:sz w:val="22"/>
    </w:rPr>
  </w:style>
  <w:style w:type="character" w:styleId="C17">
    <w:name w:val="Оceceсf1f1нededоeeeeвe2e2нededоeeeeйe9e9 шf8f8рf0f0иe8e8фf4f4тf2f2 аe0e0бe1e1зe7e7аe0e0цf6f6аe0e0"/>
    <w:rPr>
      <w:sz w:val="22"/>
    </w:rPr>
  </w:style>
  <w:style w:type="character" w:styleId="C18">
    <w:name w:val="section__info"/>
    <w:basedOn w:val="C0"/>
    <w:rPr/>
  </w:style>
  <w:style w:type="table" w:styleId="T0" w:default="1">
    <w:name w:val="Normal Table"/>
    <w:semiHidden/>
    <w:tblPr>
      <w:tblInd w:w="0" w:type="dxa"/>
      <w:tblCellMar>
        <w:top w:w="0" w:type="dxa"/>
        <w:left w:w="108" w:type="dxa"/>
        <w:bottom w:w="0" w:type="dxa"/>
        <w:right w:w="108" w:type="dxa"/>
      </w:tblCellMar>
    </w:tblPr>
    <w:trPr/>
    <w:tcPr/>
  </w:style>
  <w:style w:type="table" w:styleId="T1">
    <w:name w:val="Table Simple 1"/>
    <w:basedOn w:val="T0"/>
    <w:pPr>
      <w:spacing w:lineRule="auto" w:line="240" w:after="0" w:beforeAutospacing="0" w:afterAutospacing="0"/>
    </w:pPr>
    <w:rPr>
      <w:rFonts w:ascii="Times New Roman" w:hAnsi="Times New Roman"/>
      <w:lang w:eastAsia="ru-RU"/>
    </w:rPr>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left w:w="0" w:type="dxa"/>
        <w:right w:w="0" w:type="dxa"/>
      </w:tblCellMar>
    </w:tblPr>
    <w:trPr/>
    <w:tcPr/>
  </w:style>
  <w:style w:type="numbering" w:styleId="N0">
    <w:name w:val="No List"/>
  </w:style>
</w:styles>
</file>

<file path=word/_rels/document.xml.rels>&#65279;<?xml version="1.0" encoding="utf-8"?><Relationships xmlns="http://schemas.openxmlformats.org/package/2006/relationships"><Relationship Id="RelHdr1" Type="http://schemas.openxmlformats.org/officeDocument/2006/relationships/header" Target="header1.xml"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