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976"/>
      </w:tblGrid>
      <w:tr w:rsidR="00570C8B" w:rsidRPr="00570C8B" w:rsidTr="000C0214">
        <w:tc>
          <w:tcPr>
            <w:tcW w:w="4594" w:type="dxa"/>
          </w:tcPr>
          <w:p w:rsidR="00570C8B" w:rsidRPr="00570C8B" w:rsidRDefault="00570C8B" w:rsidP="00570C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6" w:type="dxa"/>
          </w:tcPr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Красногвардейского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Санкт-Петербурга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Среднеохтинский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пр.,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195027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7-812-5768647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ГУП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«Агентство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государственному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заказу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РТ»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Московская,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55,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Казань,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420021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факс: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(843)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292-95-87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«МЕДСИС»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Хлебозаводский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проезд,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эт.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пом.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XIV,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ком.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707-4,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Москва,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115230</w:t>
            </w:r>
          </w:p>
          <w:p w:rsidR="00570C8B" w:rsidRPr="00570C8B" w:rsidRDefault="00570C8B" w:rsidP="00570C8B">
            <w:pPr>
              <w:spacing w:after="0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(962)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C8B">
              <w:rPr>
                <w:rFonts w:ascii="Times New Roman" w:hAnsi="Times New Roman" w:cs="Times New Roman"/>
                <w:sz w:val="26"/>
                <w:szCs w:val="26"/>
              </w:rPr>
              <w:t>545-86-29</w:t>
            </w:r>
          </w:p>
          <w:p w:rsidR="00570C8B" w:rsidRPr="00570C8B" w:rsidRDefault="00570C8B" w:rsidP="00570C8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570C8B" w:rsidRPr="00570C8B" w:rsidRDefault="00570C8B" w:rsidP="00570C8B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РЕШЕНИЕ</w:t>
      </w:r>
    </w:p>
    <w:p w:rsidR="00570C8B" w:rsidRDefault="00570C8B" w:rsidP="00570C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/>
          <w:sz w:val="26"/>
          <w:szCs w:val="26"/>
        </w:rPr>
        <w:t>44-</w:t>
      </w:r>
      <w:r w:rsidR="00322C73">
        <w:rPr>
          <w:rFonts w:ascii="Times New Roman" w:hAnsi="Times New Roman" w:cs="Times New Roman"/>
          <w:b/>
          <w:sz w:val="26"/>
          <w:szCs w:val="26"/>
          <w:lang w:val="en-US"/>
        </w:rPr>
        <w:t>41</w:t>
      </w:r>
      <w:r w:rsidR="009411EB">
        <w:rPr>
          <w:rFonts w:ascii="Times New Roman" w:hAnsi="Times New Roman" w:cs="Times New Roman"/>
          <w:b/>
          <w:sz w:val="26"/>
          <w:szCs w:val="26"/>
        </w:rPr>
        <w:t>28</w:t>
      </w:r>
      <w:r w:rsidRPr="00570C8B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C8B" w:rsidRPr="00570C8B" w:rsidRDefault="00570C8B" w:rsidP="00570C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нарушении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закупках</w:t>
      </w:r>
    </w:p>
    <w:p w:rsidR="00570C8B" w:rsidRPr="00570C8B" w:rsidRDefault="00570C8B" w:rsidP="00570C8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30.07.2020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70C8B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570C8B" w:rsidRPr="00570C8B" w:rsidRDefault="00570C8B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0C8B" w:rsidRPr="00184E8A" w:rsidRDefault="00570C8B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ab/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Санкт-Петербургского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УФАС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контролю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УФАС)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A" w:rsidRDefault="00184E8A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участии </w:t>
      </w:r>
      <w:r w:rsidR="00570C8B" w:rsidRPr="00570C8B">
        <w:rPr>
          <w:rFonts w:ascii="Times New Roman" w:hAnsi="Times New Roman" w:cs="Times New Roman"/>
          <w:sz w:val="26"/>
          <w:szCs w:val="26"/>
        </w:rPr>
        <w:t>представителей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4E8A" w:rsidRDefault="00184E8A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C8B" w:rsidRPr="00570C8B">
        <w:rPr>
          <w:rFonts w:ascii="Times New Roman" w:hAnsi="Times New Roman" w:cs="Times New Roman"/>
          <w:sz w:val="26"/>
          <w:szCs w:val="26"/>
        </w:rPr>
        <w:t>Администрация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района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(далее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–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Заказчик)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4E8A" w:rsidRDefault="00184E8A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в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отсутствие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представителей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0C8B" w:rsidRPr="00570C8B" w:rsidRDefault="00184E8A" w:rsidP="00184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C8B" w:rsidRPr="00570C8B">
        <w:rPr>
          <w:rFonts w:ascii="Times New Roman" w:hAnsi="Times New Roman" w:cs="Times New Roman"/>
          <w:sz w:val="26"/>
          <w:szCs w:val="26"/>
        </w:rPr>
        <w:t>ООО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«МЕДСИС»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(далее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–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Заявитель),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надлежащим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образом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уведомленных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о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месте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и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времени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заседания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Комиссии</w:t>
      </w:r>
      <w:r w:rsidR="00570C8B">
        <w:rPr>
          <w:rFonts w:ascii="Times New Roman" w:hAnsi="Times New Roman" w:cs="Times New Roman"/>
          <w:sz w:val="26"/>
          <w:szCs w:val="26"/>
        </w:rPr>
        <w:t xml:space="preserve"> </w:t>
      </w:r>
      <w:r w:rsidR="00570C8B" w:rsidRPr="00570C8B">
        <w:rPr>
          <w:rFonts w:ascii="Times New Roman" w:hAnsi="Times New Roman" w:cs="Times New Roman"/>
          <w:sz w:val="26"/>
          <w:szCs w:val="26"/>
        </w:rPr>
        <w:t>УФАС,</w:t>
      </w:r>
    </w:p>
    <w:p w:rsidR="00570C8B" w:rsidRPr="00570C8B" w:rsidRDefault="00570C8B" w:rsidP="00570C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ab/>
        <w:t>рассмотрев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Заявителя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(вх</w:t>
      </w:r>
      <w:r w:rsidRPr="00335BC9">
        <w:rPr>
          <w:rFonts w:ascii="Times New Roman" w:hAnsi="Times New Roman" w:cs="Times New Roman"/>
          <w:sz w:val="26"/>
          <w:szCs w:val="26"/>
        </w:rPr>
        <w:t xml:space="preserve">. </w:t>
      </w:r>
      <w:r w:rsidR="00335BC9">
        <w:rPr>
          <w:rFonts w:ascii="Times New Roman" w:hAnsi="Times New Roman" w:cs="Times New Roman"/>
          <w:sz w:val="26"/>
          <w:szCs w:val="26"/>
        </w:rPr>
        <w:t>2813</w:t>
      </w:r>
      <w:r w:rsidR="009411EB">
        <w:rPr>
          <w:rFonts w:ascii="Times New Roman" w:hAnsi="Times New Roman" w:cs="Times New Roman"/>
          <w:sz w:val="26"/>
          <w:szCs w:val="26"/>
        </w:rPr>
        <w:t>5</w:t>
      </w:r>
      <w:r w:rsidRPr="00335BC9">
        <w:rPr>
          <w:rFonts w:ascii="Times New Roman" w:hAnsi="Times New Roman" w:cs="Times New Roman"/>
          <w:sz w:val="26"/>
          <w:szCs w:val="26"/>
        </w:rPr>
        <w:t>-ЭП/20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27.07.2020)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Красногвардейского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(Заказчик)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поставщика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(подрядчика,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исполнителя)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1EB" w:rsidRPr="009411EB">
        <w:rPr>
          <w:rFonts w:ascii="Times New Roman" w:hAnsi="Times New Roman" w:cs="Times New Roman"/>
          <w:sz w:val="26"/>
          <w:szCs w:val="26"/>
        </w:rPr>
        <w:t xml:space="preserve">Выполнение работ по благоустройству территории (1 этап) Красногвардейского района Санкт-Петербурга для нужд Санкт-Петербурга в 2020 год </w:t>
      </w:r>
      <w:r w:rsidRPr="00570C8B">
        <w:rPr>
          <w:rFonts w:ascii="Times New Roman" w:hAnsi="Times New Roman" w:cs="Times New Roman"/>
          <w:sz w:val="26"/>
          <w:szCs w:val="26"/>
        </w:rPr>
        <w:t>(извещения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017220000072000008</w:t>
      </w:r>
      <w:r w:rsidR="009411EB">
        <w:rPr>
          <w:rFonts w:ascii="Times New Roman" w:hAnsi="Times New Roman" w:cs="Times New Roman"/>
          <w:sz w:val="26"/>
          <w:szCs w:val="26"/>
        </w:rPr>
        <w:t>5</w:t>
      </w:r>
      <w:r w:rsidRPr="00570C8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lastRenderedPageBreak/>
        <w:t>результате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внеплановой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05.04.2013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44-ФЗ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нужд»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Административного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Федеральной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антимонопольной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службы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исполнению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функции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рассмотрению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жалоб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действия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(бездействие)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заказчика,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уполномоченного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органа,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уполномоченного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учреждения,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специализированной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организации,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комиссии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осуществлению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закупок,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ее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членов,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должностного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лица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контрактной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службы,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контрактного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управляющего,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оператора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электронной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площадки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при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определении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поставщиков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(подрядчиков,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исполнителей)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обеспечения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нужд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,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утвержденного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приказом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ФАС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России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от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19.11.2014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№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pacing w:val="6"/>
          <w:sz w:val="26"/>
          <w:szCs w:val="26"/>
        </w:rPr>
        <w:t>727/14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Административный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регламент),</w:t>
      </w:r>
    </w:p>
    <w:p w:rsidR="00570C8B" w:rsidRPr="00570C8B" w:rsidRDefault="00570C8B" w:rsidP="00570C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УСТАНОВИЛА:</w:t>
      </w:r>
    </w:p>
    <w:p w:rsidR="00570C8B" w:rsidRPr="00570C8B" w:rsidRDefault="00570C8B" w:rsidP="00570C8B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Извещение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размещено</w:t>
      </w:r>
      <w:r w:rsidR="00335BC9"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 w:rsidR="009411EB">
        <w:rPr>
          <w:rFonts w:ascii="Times New Roman" w:hAnsi="Times New Roman" w:cs="Times New Roman"/>
          <w:sz w:val="26"/>
          <w:szCs w:val="26"/>
        </w:rPr>
        <w:t>1</w:t>
      </w:r>
      <w:r w:rsidRPr="00570C8B">
        <w:rPr>
          <w:rFonts w:ascii="Times New Roman" w:hAnsi="Times New Roman" w:cs="Times New Roman"/>
          <w:sz w:val="26"/>
          <w:szCs w:val="26"/>
        </w:rPr>
        <w:t>.07.2020</w:t>
      </w:r>
      <w:r w:rsidR="00335BC9"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Единой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www.</w:t>
      </w:r>
      <w:r w:rsidRPr="00570C8B">
        <w:rPr>
          <w:rFonts w:ascii="Times New Roman" w:hAnsi="Times New Roman" w:cs="Times New Roman"/>
          <w:sz w:val="26"/>
          <w:szCs w:val="26"/>
          <w:lang w:val="en-US"/>
        </w:rPr>
        <w:t>zakupki</w:t>
      </w:r>
      <w:r w:rsidRPr="00570C8B">
        <w:rPr>
          <w:rFonts w:ascii="Times New Roman" w:hAnsi="Times New Roman" w:cs="Times New Roman"/>
          <w:sz w:val="26"/>
          <w:szCs w:val="26"/>
        </w:rPr>
        <w:t>.</w:t>
      </w:r>
      <w:r w:rsidRPr="00570C8B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570C8B">
        <w:rPr>
          <w:rFonts w:ascii="Times New Roman" w:hAnsi="Times New Roman" w:cs="Times New Roman"/>
          <w:sz w:val="26"/>
          <w:szCs w:val="26"/>
        </w:rPr>
        <w:t>.ru,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017220000072000008</w:t>
      </w:r>
      <w:r w:rsidR="009411EB">
        <w:rPr>
          <w:rFonts w:ascii="Times New Roman" w:hAnsi="Times New Roman" w:cs="Times New Roman"/>
          <w:sz w:val="26"/>
          <w:szCs w:val="26"/>
        </w:rPr>
        <w:t>5</w:t>
      </w:r>
      <w:r w:rsidR="004A41F4">
        <w:rPr>
          <w:rFonts w:ascii="Times New Roman" w:hAnsi="Times New Roman" w:cs="Times New Roman"/>
          <w:sz w:val="26"/>
          <w:szCs w:val="26"/>
        </w:rPr>
        <w:t>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Начальная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(максимальная)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цена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1EB">
        <w:rPr>
          <w:rFonts w:ascii="Times New Roman" w:hAnsi="Times New Roman" w:cs="Times New Roman"/>
          <w:sz w:val="26"/>
          <w:szCs w:val="26"/>
        </w:rPr>
        <w:t>816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1EB">
        <w:rPr>
          <w:rFonts w:ascii="Times New Roman" w:hAnsi="Times New Roman" w:cs="Times New Roman"/>
          <w:sz w:val="26"/>
          <w:szCs w:val="26"/>
        </w:rPr>
        <w:t>288,71</w:t>
      </w:r>
      <w:r w:rsidR="00184E8A">
        <w:rPr>
          <w:rFonts w:ascii="Times New Roman" w:hAnsi="Times New Roman" w:cs="Times New Roman"/>
          <w:sz w:val="26"/>
          <w:szCs w:val="26"/>
        </w:rPr>
        <w:t xml:space="preserve"> руб</w:t>
      </w:r>
      <w:r w:rsidRPr="00570C8B">
        <w:rPr>
          <w:rFonts w:ascii="Times New Roman" w:hAnsi="Times New Roman" w:cs="Times New Roman"/>
          <w:sz w:val="26"/>
          <w:szCs w:val="26"/>
        </w:rPr>
        <w:t>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неправомерные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нарушающие,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Заявителя,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основаниям,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изложенным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жалобе.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считает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необоснованной.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приводит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доводы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допущенных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нарушениях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выразившихся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в:</w:t>
      </w:r>
    </w:p>
    <w:p w:rsidR="00570C8B" w:rsidRPr="00570C8B" w:rsidRDefault="00570C8B" w:rsidP="00570C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определяемых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испытаний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партий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товара.</w:t>
      </w:r>
    </w:p>
    <w:p w:rsidR="00570C8B" w:rsidRPr="00570C8B" w:rsidRDefault="00570C8B" w:rsidP="0057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заключен.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Информация,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изложенная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пояснения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подтверждают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обстоятельства.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Запрещается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совершение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специализированными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организациями,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должностными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лицами,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комиссиями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членами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комиссий,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операторами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площадок,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операторами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специализированных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площадок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любых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действий,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противоречат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приводят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конкуренции,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частности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необоснованному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числа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системе).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(электронным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сообщается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неограниченному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кругу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lastRenderedPageBreak/>
        <w:t>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единой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предъявляются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единые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дополнительные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обеспечивается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площадке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оператором.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наряду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извещении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следующую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указываются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функциональные,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качественные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эксплуатационные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необходимости).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включаться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обслуживания,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фирменных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патентов,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полезных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моделей,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промышленных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образцов,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происхождения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влекут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Допускается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сопровождения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«или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эквивалент»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несовместимости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размещаются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другие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используемыми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запасных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частей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расходных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материалов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машинам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оборудованию,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используемым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машины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оборудование.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Заказчики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терминологию,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касающуюся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функциональных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(потребительских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свойств)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качественных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регламентами,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принятыми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регулировании,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разрабатываемыми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применяемыми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стандартизации,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принятыми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стандартизации,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выполняемой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оказываемой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потребностям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регулировании,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стандартизации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терминология,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lastRenderedPageBreak/>
        <w:t>обоснование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других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обозначений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терминологии.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позволяющие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указываются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максимальные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минимальные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изменяться.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формировании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предоставлены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полномочия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самостоятельному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параметров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наибольшей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степени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удовлетворяющих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потребности.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Однако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буквального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толкования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вышеприведенных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осуществляющие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правилам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прописать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повысить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шансы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другой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Таким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выбрать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предмет,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нормами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торгах,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соответствующую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объективным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обоснованным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степени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детализировать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норм,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включать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значимыми,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норм,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обязывающих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устанавливать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вопреки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потребностям,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соответствовали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всем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видам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составу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инструкцию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заполнению.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допускается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влекущих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доступа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оказании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первая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настоящей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статьи,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содержать: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lastRenderedPageBreak/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происхождения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товара;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конкретные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наличии).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настоящим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подпунктом,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включается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отсутствия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предлагает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обозначен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отличным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Частью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запрещается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 w:rsidR="009411EB"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настоящей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информации.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(характеристик)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Заказчику.</w:t>
      </w:r>
    </w:p>
    <w:p w:rsidR="009411E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1EB">
        <w:rPr>
          <w:rFonts w:ascii="Times New Roman" w:hAnsi="Times New Roman" w:cs="Times New Roman"/>
          <w:sz w:val="26"/>
          <w:szCs w:val="26"/>
        </w:rPr>
        <w:t>в</w:t>
      </w:r>
      <w:r w:rsidR="009411EB" w:rsidRPr="009411EB">
        <w:rPr>
          <w:rFonts w:ascii="Times New Roman" w:hAnsi="Times New Roman" w:cs="Times New Roman"/>
          <w:sz w:val="26"/>
          <w:szCs w:val="26"/>
        </w:rPr>
        <w:t>ыполнение работ по благоустройству территории (1 этап) Красногвардейского района Санкт-Петербурга для нужд Санкт-Петербурга в 2020 год</w:t>
      </w:r>
      <w:r w:rsidR="009411EB">
        <w:rPr>
          <w:rFonts w:ascii="Times New Roman" w:hAnsi="Times New Roman" w:cs="Times New Roman"/>
          <w:sz w:val="26"/>
          <w:szCs w:val="26"/>
        </w:rPr>
        <w:t>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Гражданского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различных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(смешанный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отношениям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применяются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частях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вытекает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432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заключенным,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между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требуемой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подлежащих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форме,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достигнуто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всем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Существенными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предмете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названы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вида,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относительно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любой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должно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достигнуто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соглашение.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454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купли-продажи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одна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(продавец)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передать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вещь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(товар)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другой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стороне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(покупателю),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покупатель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этот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уплатить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денежную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(цену).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купли-продажи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согласованным,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позволяет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поставщик-продавец,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осуществляющий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предпринимательскую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деятельность,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передать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обусловленный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сроки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производимые</w:t>
      </w:r>
      <w:r w:rsidR="00335B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закупаемые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покупателю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целях,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личным,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семейным,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домашним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подобным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использованием.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506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устанавливают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каких-либо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соответственно,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считаются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согласованными,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позволяет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Положениями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указание: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i/>
          <w:iCs/>
          <w:sz w:val="26"/>
          <w:szCs w:val="26"/>
        </w:rPr>
        <w:t>«4.2.2.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Выполнить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предусмотренные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настоящим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Контрактом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работы,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обеспечив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надлежащее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качество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соответствии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условиями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Контракта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сроки,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установленные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настоящим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Контрактом.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начала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выполнения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должен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поставить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адресу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Заказчика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выполнении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закупаемых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также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осуществить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акту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приема-передачи,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разгрузку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хранение.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Все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материалы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оборудование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должны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сертифицированы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соответствовать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техническим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требованиям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нормативной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документации.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Документы,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удостоверяющие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качество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поставляемых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товаров,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выполнении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закупаемых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(сертификаты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качества;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сертификаты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пожарной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безопасности;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санитарно-эпидемиологические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заключения)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должны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переданы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требованию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Заказчика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заблаговременно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(в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разумные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сроки),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позволяя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осуществить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проверку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качества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поставляемых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товаров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оборудования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момента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применения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работе.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Подрядчик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отвечает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недостатки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товара,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поставленного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строительную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площадку,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даже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если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указанные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недостатки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обнаружены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Заказчиком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приемке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Подрядчика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не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оговорены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акте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приема-передачи.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Товары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должны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быть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переданы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Заказчику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акту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35BC9">
        <w:rPr>
          <w:rFonts w:ascii="Times New Roman" w:hAnsi="Times New Roman" w:cs="Times New Roman"/>
          <w:i/>
          <w:iCs/>
          <w:sz w:val="26"/>
          <w:szCs w:val="26"/>
        </w:rPr>
        <w:t>приема-передачи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.».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рассматриваемом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носит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включает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себя,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необходимы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421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допустимым.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 w:rsidR="00322C73" w:rsidRPr="00322C73"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Техническому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заданию.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Таким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образом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существенным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условием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содержатся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смешанном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договоре.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Следовательно,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поставляемым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lastRenderedPageBreak/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используются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работ.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Довод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нашёл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своего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подтверждения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УФАС.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указывает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неправомерные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выразившиеся,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ненадлежащей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доводами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считает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необоснованными.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изложенная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пояснения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представителей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сторон,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представленные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подтверждают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обстоятельства.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(электронным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аукционом)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понимается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неограниченному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кругу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путем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размещения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нем,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предъявляются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дополнительные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обеспечивается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оператором.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запрещается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совершение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заказчиками,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специализированными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организациями,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должностными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лицами,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комиссиями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противоречат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приводят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конкуренции,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необоснованному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наряду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информацией,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допускается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влекущих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доступа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системе).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Действующим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четких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критериев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Указывая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минимальные,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товаров,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товаров,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изменяться,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определяет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учитывать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запрет,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ограничивающих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круг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позволяющей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первую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потребностями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335B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</w:t>
      </w:r>
      <w:r w:rsidR="00335B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надлежащей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привести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возникновению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ошибок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технического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характера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очередь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привести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соответствующими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целях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надлежащим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требуемые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устанавливает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целесообразно: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раздел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(или)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пункт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предусмотренные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делают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заявках;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определить,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(или)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диапазона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показателя);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определить,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изменяться,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подлежат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каких-либо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изменений;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сопоставить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технических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регламентов,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стандартов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предусмотренных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техническом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регулировании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(далее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Стандарты),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показателями,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подлежат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значениям,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Стандартами).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Соблюдение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исключение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субъективного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восприятия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заявителя</w:t>
      </w:r>
      <w:r w:rsidR="00490B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позволяют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заседании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УФАС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установлено,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содержит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очередь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содержит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(или)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минимальные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изменяться,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выборочные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заявках.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силу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осуществляющие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общественный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объединения,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объединения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юридических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обжаловать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судебном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главой,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контрольный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сфере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(бездействие)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уполномоченного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уполномоченного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закупок,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службы,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управляющего,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(бездействие)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нарушают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прикладываются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подтверждающие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обоснованность.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перечень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прилагаемых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анализа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следует,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возложена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обязанность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доказыванию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обоснованности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доводов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нарушение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представлено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документальных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подтверждений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обоснованности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вышеприведенных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доводов,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невозможности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сведений,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свидетельствующих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нарушении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образом,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оспариваемая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препятствует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предрешает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исхода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преимуществ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конкретному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лицу.</w:t>
      </w:r>
    </w:p>
    <w:p w:rsidR="00570C8B" w:rsidRPr="00570C8B" w:rsidRDefault="00570C8B" w:rsidP="00490BD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жалобе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указывает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известны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испытаний.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УФАС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констатирует,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позиции</w:t>
      </w:r>
      <w:r w:rsidRPr="00570C8B">
        <w:rPr>
          <w:rFonts w:ascii="Times New Roman" w:hAnsi="Times New Roman" w:cs="Times New Roman"/>
          <w:sz w:val="26"/>
          <w:szCs w:val="26"/>
        </w:rPr>
        <w:br/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«Саженцы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тип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FED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570C8B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числе,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требования: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«</w:t>
      </w:r>
      <w:r w:rsidR="000D7FED">
        <w:rPr>
          <w:rFonts w:ascii="Times New Roman" w:hAnsi="Times New Roman" w:cs="Times New Roman"/>
          <w:i/>
          <w:iCs/>
          <w:sz w:val="26"/>
          <w:szCs w:val="26"/>
        </w:rPr>
        <w:t>Высота надземной части от 80 до 90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i/>
          <w:iCs/>
          <w:sz w:val="26"/>
          <w:szCs w:val="26"/>
        </w:rPr>
        <w:t>см».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вышеуказанного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позволяет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прийти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выводу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конкретные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вышеуказанной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позиции</w:t>
      </w:r>
      <w:r w:rsidRPr="00570C8B">
        <w:rPr>
          <w:rFonts w:ascii="Times New Roman" w:hAnsi="Times New Roman" w:cs="Times New Roman"/>
          <w:sz w:val="26"/>
          <w:szCs w:val="26"/>
        </w:rPr>
        <w:br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действующими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стандартов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испытаний.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письма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ФАС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г.</w:t>
      </w:r>
      <w:r w:rsidRPr="00570C8B">
        <w:rPr>
          <w:rFonts w:ascii="Times New Roman" w:hAnsi="Times New Roman" w:cs="Times New Roman"/>
          <w:sz w:val="26"/>
          <w:szCs w:val="26"/>
        </w:rPr>
        <w:br/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ИА/44536/16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извещении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следует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учесть,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момент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заказчика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подробно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диапазона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неизменного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lastRenderedPageBreak/>
        <w:t>значения)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химический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компоненты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технологии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производства,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испытания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показатели,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становятся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известными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испытании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определенной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партии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производства,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признаки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доступа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закупке.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Учитывая,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иметь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подлежащий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вышеприведенные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подробного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изложения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описанию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испытательных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химических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элементов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компонентов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товара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ограничивают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закупки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надлежащее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достоверное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составе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аукционе,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усматривается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нарушение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64</w:t>
      </w:r>
      <w:r w:rsidR="00490BD0"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(ч.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66)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системе.</w:t>
      </w:r>
    </w:p>
    <w:p w:rsid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C8B">
        <w:rPr>
          <w:rFonts w:ascii="Times New Roman" w:hAnsi="Times New Roman" w:cs="Times New Roman"/>
          <w:sz w:val="26"/>
          <w:szCs w:val="26"/>
        </w:rPr>
        <w:t>Комиссией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УФАС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обязательное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предписание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устранении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выявленного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sz w:val="26"/>
          <w:szCs w:val="26"/>
        </w:rPr>
        <w:t>выдавать,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отсутствием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доказательств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того,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выявленные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нарушения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повлияли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6"/>
          <w:szCs w:val="26"/>
        </w:rPr>
        <w:t>закупки</w:t>
      </w:r>
      <w:r w:rsidRPr="00570C8B">
        <w:rPr>
          <w:rFonts w:ascii="Times New Roman" w:hAnsi="Times New Roman" w:cs="Times New Roman"/>
          <w:sz w:val="26"/>
          <w:szCs w:val="26"/>
        </w:rPr>
        <w:t>.</w:t>
      </w:r>
    </w:p>
    <w:p w:rsidR="004A41F4" w:rsidRPr="00570C8B" w:rsidRDefault="004A41F4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C8B">
        <w:rPr>
          <w:rFonts w:ascii="Times New Roman" w:hAnsi="Times New Roman" w:cs="Times New Roman"/>
          <w:bCs/>
          <w:sz w:val="26"/>
          <w:szCs w:val="26"/>
        </w:rPr>
        <w:t>Комиссия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УФАС,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ст.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33,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64,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66,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99,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106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Закона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контрактной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системе,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Административным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C8B">
        <w:rPr>
          <w:rFonts w:ascii="Times New Roman" w:hAnsi="Times New Roman" w:cs="Times New Roman"/>
          <w:bCs/>
          <w:sz w:val="26"/>
          <w:szCs w:val="26"/>
        </w:rPr>
        <w:t>регламентом,</w:t>
      </w: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0C8B" w:rsidRPr="00570C8B" w:rsidRDefault="00570C8B" w:rsidP="00570C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70C8B">
        <w:rPr>
          <w:rFonts w:ascii="Times New Roman" w:hAnsi="Times New Roman" w:cs="Times New Roman"/>
          <w:color w:val="000000"/>
          <w:sz w:val="26"/>
          <w:szCs w:val="26"/>
        </w:rPr>
        <w:t>РЕШИЛА:</w:t>
      </w:r>
    </w:p>
    <w:p w:rsidR="00570C8B" w:rsidRPr="00570C8B" w:rsidRDefault="00570C8B" w:rsidP="00570C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0C8B" w:rsidRPr="00570C8B" w:rsidRDefault="00570C8B" w:rsidP="00570C8B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70C8B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Признать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жалобу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ООО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«МЕДСИС»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обоснованной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части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доводов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относительно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установления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испытательных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характеристик.</w:t>
      </w:r>
    </w:p>
    <w:p w:rsidR="00570C8B" w:rsidRPr="00570C8B" w:rsidRDefault="00570C8B" w:rsidP="00570C8B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70C8B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Признать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действиях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Заказчика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нарушение</w:t>
      </w:r>
      <w:r>
        <w:rPr>
          <w:color w:val="000000"/>
          <w:sz w:val="26"/>
          <w:szCs w:val="26"/>
        </w:rPr>
        <w:t xml:space="preserve"> </w:t>
      </w:r>
      <w:r w:rsidRPr="00570C8B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570C8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570C8B">
        <w:rPr>
          <w:sz w:val="26"/>
          <w:szCs w:val="26"/>
        </w:rPr>
        <w:t>ч.</w:t>
      </w:r>
      <w:r>
        <w:rPr>
          <w:sz w:val="26"/>
          <w:szCs w:val="26"/>
        </w:rPr>
        <w:t xml:space="preserve"> </w:t>
      </w:r>
      <w:r w:rsidRPr="00570C8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570C8B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570C8B">
        <w:rPr>
          <w:sz w:val="26"/>
          <w:szCs w:val="26"/>
        </w:rPr>
        <w:t>64</w:t>
      </w:r>
      <w:r w:rsidR="004A41F4">
        <w:rPr>
          <w:sz w:val="26"/>
          <w:szCs w:val="26"/>
        </w:rPr>
        <w:t xml:space="preserve"> </w:t>
      </w:r>
      <w:r w:rsidRPr="00570C8B">
        <w:rPr>
          <w:sz w:val="26"/>
          <w:szCs w:val="26"/>
        </w:rPr>
        <w:t>(ч.</w:t>
      </w:r>
      <w:r>
        <w:rPr>
          <w:sz w:val="26"/>
          <w:szCs w:val="26"/>
        </w:rPr>
        <w:t xml:space="preserve"> </w:t>
      </w:r>
      <w:r w:rsidRPr="00570C8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570C8B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570C8B">
        <w:rPr>
          <w:sz w:val="26"/>
          <w:szCs w:val="26"/>
        </w:rPr>
        <w:t>66)</w:t>
      </w:r>
      <w:r w:rsidR="004A41F4">
        <w:rPr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Закона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контрактной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системе.</w:t>
      </w:r>
    </w:p>
    <w:p w:rsidR="00570C8B" w:rsidRPr="00570C8B" w:rsidRDefault="00570C8B" w:rsidP="00570C8B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70C8B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Обязательное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для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исполнения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предписание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устранении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выявленных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нарушений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законодательства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контрактной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системе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выдавать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связи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отсутствием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доказательств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того,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что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выявленные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нарушения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повлияли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результаты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закупки.</w:t>
      </w:r>
    </w:p>
    <w:p w:rsidR="00570C8B" w:rsidRPr="00570C8B" w:rsidRDefault="00570C8B" w:rsidP="00570C8B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70C8B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Передать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материалы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дела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уполномоченному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должностному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лицу</w:t>
      </w:r>
      <w:r w:rsidR="004A41F4"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для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рассмотрения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вопроса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возбуждении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дела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административном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правонарушении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отношении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должностного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лица</w:t>
      </w:r>
      <w:r>
        <w:rPr>
          <w:color w:val="000000"/>
          <w:sz w:val="26"/>
          <w:szCs w:val="26"/>
        </w:rPr>
        <w:t xml:space="preserve"> </w:t>
      </w:r>
      <w:r w:rsidRPr="00570C8B">
        <w:rPr>
          <w:color w:val="000000"/>
          <w:sz w:val="26"/>
          <w:szCs w:val="26"/>
        </w:rPr>
        <w:t>Заказчика.</w:t>
      </w:r>
    </w:p>
    <w:p w:rsidR="00570C8B" w:rsidRPr="00570C8B" w:rsidRDefault="00570C8B" w:rsidP="00570C8B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44F72" w:rsidRPr="00335BC9" w:rsidRDefault="00570C8B" w:rsidP="00335BC9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70C8B">
        <w:rPr>
          <w:i/>
          <w:iCs/>
          <w:color w:val="000000"/>
          <w:sz w:val="26"/>
          <w:szCs w:val="26"/>
        </w:rPr>
        <w:t>Настоящее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решение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может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быть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обжаловано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в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судебном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порядке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в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течение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трёх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месяцев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со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дня</w:t>
      </w:r>
      <w:r>
        <w:rPr>
          <w:i/>
          <w:iCs/>
          <w:color w:val="000000"/>
          <w:sz w:val="26"/>
          <w:szCs w:val="26"/>
        </w:rPr>
        <w:t xml:space="preserve"> </w:t>
      </w:r>
      <w:r w:rsidRPr="00570C8B">
        <w:rPr>
          <w:i/>
          <w:iCs/>
          <w:color w:val="000000"/>
          <w:sz w:val="26"/>
          <w:szCs w:val="26"/>
        </w:rPr>
        <w:t>принятия.</w:t>
      </w:r>
    </w:p>
    <w:sectPr w:rsidR="00244F72" w:rsidRPr="00335BC9" w:rsidSect="00AF23CD">
      <w:headerReference w:type="even" r:id="rId6"/>
      <w:headerReference w:type="default" r:id="rId7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9C" w:rsidRDefault="00342894">
      <w:pPr>
        <w:spacing w:after="0" w:line="240" w:lineRule="auto"/>
      </w:pPr>
      <w:r>
        <w:separator/>
      </w:r>
    </w:p>
  </w:endnote>
  <w:endnote w:type="continuationSeparator" w:id="0">
    <w:p w:rsidR="007E4A9C" w:rsidRDefault="0034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9C" w:rsidRDefault="00342894">
      <w:pPr>
        <w:spacing w:after="0" w:line="240" w:lineRule="auto"/>
      </w:pPr>
      <w:r>
        <w:separator/>
      </w:r>
    </w:p>
  </w:footnote>
  <w:footnote w:type="continuationSeparator" w:id="0">
    <w:p w:rsidR="007E4A9C" w:rsidRDefault="0034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5" w:rsidRDefault="00244F72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5A5" w:rsidRDefault="000D7F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5" w:rsidRDefault="00244F72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FED">
      <w:rPr>
        <w:rStyle w:val="a5"/>
        <w:noProof/>
      </w:rPr>
      <w:t>10</w:t>
    </w:r>
    <w:r>
      <w:rPr>
        <w:rStyle w:val="a5"/>
      </w:rPr>
      <w:fldChar w:fldCharType="end"/>
    </w:r>
  </w:p>
  <w:p w:rsidR="004215A5" w:rsidRDefault="000D7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C8B"/>
    <w:rsid w:val="000D7FED"/>
    <w:rsid w:val="00184E8A"/>
    <w:rsid w:val="00244F72"/>
    <w:rsid w:val="00322C73"/>
    <w:rsid w:val="00335BC9"/>
    <w:rsid w:val="00342894"/>
    <w:rsid w:val="00490BD0"/>
    <w:rsid w:val="004A41F4"/>
    <w:rsid w:val="00570C8B"/>
    <w:rsid w:val="007E4A9C"/>
    <w:rsid w:val="009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9C91"/>
  <w15:docId w15:val="{F1372B92-10BB-4185-B42D-8986C37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70C8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70C8B"/>
  </w:style>
  <w:style w:type="paragraph" w:styleId="a6">
    <w:name w:val="Normal (Web)"/>
    <w:basedOn w:val="a"/>
    <w:link w:val="a7"/>
    <w:uiPriority w:val="99"/>
    <w:unhideWhenUsed/>
    <w:rsid w:val="0057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570C8B"/>
    <w:rPr>
      <w:rFonts w:ascii="Times New Roman" w:eastAsia="Times New Roman" w:hAnsi="Times New Roman" w:cs="Times New Roman"/>
      <w:sz w:val="24"/>
      <w:szCs w:val="24"/>
    </w:rPr>
  </w:style>
  <w:style w:type="character" w:customStyle="1" w:styleId="cardmaininfocontent">
    <w:name w:val="cardmaininfo__content"/>
    <w:rsid w:val="0057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Двояковский Александр Анатольевич</cp:lastModifiedBy>
  <cp:revision>8</cp:revision>
  <dcterms:created xsi:type="dcterms:W3CDTF">2020-08-04T10:59:00Z</dcterms:created>
  <dcterms:modified xsi:type="dcterms:W3CDTF">2020-08-04T17:19:00Z</dcterms:modified>
</cp:coreProperties>
</file>