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Look w:val="01E0" w:firstRow="1" w:lastRow="1" w:firstColumn="1" w:lastColumn="1" w:noHBand="0" w:noVBand="0"/>
      </w:tblPr>
      <w:tblGrid>
        <w:gridCol w:w="4361"/>
        <w:gridCol w:w="5528"/>
      </w:tblGrid>
      <w:tr w:rsidR="00E61FFF" w:rsidTr="00E61FFF">
        <w:tc>
          <w:tcPr>
            <w:tcW w:w="4361" w:type="dxa"/>
            <w:hideMark/>
          </w:tcPr>
          <w:p w:rsidR="00E61FFF" w:rsidRDefault="00E61F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5528" w:type="dxa"/>
          </w:tcPr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Комитет по молодежной политике </w:t>
            </w:r>
            <w:r>
              <w:rPr>
                <w:iCs/>
                <w:sz w:val="28"/>
                <w:szCs w:val="28"/>
              </w:rPr>
              <w:br/>
              <w:t xml:space="preserve">и взаимодействию 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 общественными организациями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ул. Большая Морская, д. 31, лит. А,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Санкт-Петербург, 190000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ООО «РТС-тендер»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наб. Тараса Шевченко, д. 23А,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Москва, 121151    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ООО «Корпорация «</w:t>
            </w:r>
            <w:proofErr w:type="spellStart"/>
            <w:r>
              <w:rPr>
                <w:iCs/>
                <w:sz w:val="28"/>
                <w:szCs w:val="28"/>
              </w:rPr>
              <w:t>Мейк</w:t>
            </w:r>
            <w:proofErr w:type="spellEnd"/>
            <w:r>
              <w:rPr>
                <w:iCs/>
                <w:sz w:val="28"/>
                <w:szCs w:val="28"/>
              </w:rPr>
              <w:t>»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Борисовское ш., д. 17, оф. 810, Серпухов,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Московская обл., 142207</w:t>
            </w:r>
          </w:p>
          <w:p w:rsidR="00E61FFF" w:rsidRDefault="00E61FFF">
            <w:pPr>
              <w:rPr>
                <w:iCs/>
                <w:sz w:val="28"/>
                <w:szCs w:val="28"/>
              </w:rPr>
            </w:pPr>
          </w:p>
          <w:p w:rsidR="00E61FFF" w:rsidRDefault="00E61FFF">
            <w:pPr>
              <w:rPr>
                <w:iCs/>
                <w:sz w:val="28"/>
                <w:szCs w:val="28"/>
              </w:rPr>
            </w:pPr>
          </w:p>
          <w:p w:rsidR="00E61FFF" w:rsidRDefault="00E61FFF">
            <w:pPr>
              <w:rPr>
                <w:iCs/>
                <w:sz w:val="28"/>
                <w:szCs w:val="28"/>
              </w:rPr>
            </w:pPr>
          </w:p>
          <w:p w:rsidR="00E61FFF" w:rsidRDefault="00E61FFF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E61FFF" w:rsidRDefault="00E61FFF" w:rsidP="00E61FF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61FFF" w:rsidRDefault="00E61FFF" w:rsidP="00E61FF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</w:t>
      </w:r>
      <w:r>
        <w:rPr>
          <w:b/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44-3799/20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 нарушении законодательства о контрактной системе</w:t>
      </w:r>
    </w:p>
    <w:p w:rsidR="00E61FFF" w:rsidRDefault="00E61FFF" w:rsidP="00E61FFF">
      <w:pPr>
        <w:ind w:firstLine="540"/>
        <w:jc w:val="both"/>
        <w:rPr>
          <w:sz w:val="28"/>
          <w:szCs w:val="28"/>
        </w:rPr>
      </w:pPr>
    </w:p>
    <w:p w:rsidR="00E61FFF" w:rsidRDefault="00E61FFF" w:rsidP="00E61FF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10.07.2020                                                                                      Санкт-Петербург</w:t>
      </w:r>
    </w:p>
    <w:p w:rsidR="00E61FFF" w:rsidRDefault="00E61FFF" w:rsidP="00E61FFF">
      <w:pPr>
        <w:tabs>
          <w:tab w:val="left" w:pos="0"/>
        </w:tabs>
        <w:jc w:val="both"/>
        <w:rPr>
          <w:sz w:val="28"/>
          <w:szCs w:val="28"/>
        </w:rPr>
      </w:pPr>
    </w:p>
    <w:p w:rsidR="00E61FFF" w:rsidRDefault="00E61FFF" w:rsidP="00E61FF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EA79E0" w:rsidRDefault="00EA79E0" w:rsidP="00E61FFF">
      <w:pPr>
        <w:tabs>
          <w:tab w:val="left" w:pos="0"/>
        </w:tabs>
        <w:jc w:val="both"/>
        <w:rPr>
          <w:sz w:val="28"/>
          <w:szCs w:val="28"/>
        </w:rPr>
      </w:pPr>
    </w:p>
    <w:p w:rsidR="00EA79E0" w:rsidRDefault="00E61FFF" w:rsidP="00E61FF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 участии представителей </w:t>
      </w:r>
      <w:r>
        <w:rPr>
          <w:iCs/>
          <w:sz w:val="28"/>
          <w:szCs w:val="28"/>
        </w:rPr>
        <w:t xml:space="preserve">Комитета по молодежной политике и взаимодействию с общественными организациями </w:t>
      </w:r>
      <w:r>
        <w:rPr>
          <w:sz w:val="28"/>
          <w:szCs w:val="28"/>
        </w:rPr>
        <w:t>(далее –</w:t>
      </w:r>
      <w:r>
        <w:rPr>
          <w:iCs/>
          <w:sz w:val="28"/>
          <w:szCs w:val="28"/>
        </w:rPr>
        <w:t xml:space="preserve"> Заказчик</w:t>
      </w:r>
      <w:r>
        <w:rPr>
          <w:sz w:val="28"/>
          <w:szCs w:val="28"/>
        </w:rPr>
        <w:t xml:space="preserve">): </w:t>
      </w:r>
    </w:p>
    <w:p w:rsidR="00E61FFF" w:rsidRDefault="00E61FFF" w:rsidP="00E61FF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 отсутствие представителей ООО «Корпорация «</w:t>
      </w:r>
      <w:proofErr w:type="spellStart"/>
      <w:r>
        <w:rPr>
          <w:sz w:val="28"/>
          <w:szCs w:val="28"/>
        </w:rPr>
        <w:t>Мейк</w:t>
      </w:r>
      <w:proofErr w:type="spellEnd"/>
      <w:r>
        <w:rPr>
          <w:sz w:val="28"/>
          <w:szCs w:val="28"/>
        </w:rPr>
        <w:t xml:space="preserve">» (далее – Заявитель), надлежащим образом уведомленных о месте и времени заседания Комиссии УФАС, </w:t>
      </w:r>
    </w:p>
    <w:p w:rsidR="00E61FFF" w:rsidRDefault="00E61FFF" w:rsidP="00E61FF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рассмотрев жалобу </w:t>
      </w:r>
      <w:r>
        <w:rPr>
          <w:bCs/>
          <w:sz w:val="28"/>
          <w:szCs w:val="28"/>
        </w:rPr>
        <w:t xml:space="preserve">Заявителя </w:t>
      </w:r>
      <w:r>
        <w:rPr>
          <w:sz w:val="28"/>
          <w:szCs w:val="28"/>
        </w:rPr>
        <w:t xml:space="preserve">(вх. № 24694-ЭП/20 от 03.07.2020) </w:t>
      </w:r>
      <w:r>
        <w:rPr>
          <w:sz w:val="28"/>
          <w:szCs w:val="28"/>
        </w:rPr>
        <w:br/>
        <w:t xml:space="preserve">на действия конкурсной комиссии Заказчика при определении поставщика путем проведения открытого конкурса в электронной форме на оказание услуг по организации и проведению экологических соревнований для молодежи Санкт-Петербурга 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>
        <w:rPr>
          <w:bCs/>
          <w:sz w:val="28"/>
          <w:szCs w:val="28"/>
        </w:rPr>
        <w:t xml:space="preserve">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</w:t>
      </w:r>
      <w:r>
        <w:rPr>
          <w:bCs/>
          <w:sz w:val="28"/>
          <w:szCs w:val="28"/>
        </w:rPr>
        <w:lastRenderedPageBreak/>
        <w:t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>
        <w:rPr>
          <w:spacing w:val="6"/>
          <w:sz w:val="28"/>
          <w:szCs w:val="28"/>
        </w:rPr>
        <w:t xml:space="preserve">, утвержденного приказом ФАС России от 19.11.2014 № 727/14 </w:t>
      </w:r>
      <w:r>
        <w:rPr>
          <w:sz w:val="28"/>
          <w:szCs w:val="28"/>
        </w:rPr>
        <w:t>(далее – Административный регламент),</w:t>
      </w:r>
    </w:p>
    <w:p w:rsidR="00E61FFF" w:rsidRDefault="00E61FFF" w:rsidP="00E61FFF">
      <w:pPr>
        <w:jc w:val="center"/>
        <w:rPr>
          <w:sz w:val="28"/>
          <w:szCs w:val="28"/>
        </w:rPr>
      </w:pPr>
    </w:p>
    <w:p w:rsidR="00E61FFF" w:rsidRDefault="00E61FFF" w:rsidP="00E61FF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УСТАНОВИЛА:</w:t>
      </w:r>
    </w:p>
    <w:p w:rsidR="00E61FFF" w:rsidRDefault="00E61FFF" w:rsidP="00E61FFF">
      <w:pPr>
        <w:jc w:val="center"/>
        <w:outlineLvl w:val="0"/>
        <w:rPr>
          <w:sz w:val="28"/>
          <w:szCs w:val="28"/>
        </w:rPr>
      </w:pPr>
    </w:p>
    <w:p w:rsidR="00E61FFF" w:rsidRDefault="00E61FFF" w:rsidP="00E61F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 проведении конкурса размещено 29.05.2020</w:t>
      </w:r>
      <w:r>
        <w:rPr>
          <w:sz w:val="28"/>
          <w:szCs w:val="28"/>
        </w:rPr>
        <w:br/>
        <w:t xml:space="preserve">на Официальном сайте Единой информационной системы в сфере закупок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zakupki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gov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номер извещения 0172200001520000038. Начальная (максимальная) цена контракта – </w:t>
      </w:r>
      <w:r>
        <w:rPr>
          <w:color w:val="000000"/>
          <w:sz w:val="28"/>
          <w:szCs w:val="28"/>
        </w:rPr>
        <w:t xml:space="preserve">4 497 600, 00 </w:t>
      </w:r>
      <w:r>
        <w:rPr>
          <w:sz w:val="28"/>
          <w:szCs w:val="28"/>
        </w:rPr>
        <w:t>рублей.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жалобе </w:t>
      </w:r>
      <w:r>
        <w:rPr>
          <w:iCs/>
          <w:sz w:val="28"/>
          <w:szCs w:val="28"/>
        </w:rPr>
        <w:t>ООО «Корпорация «</w:t>
      </w:r>
      <w:proofErr w:type="spellStart"/>
      <w:r>
        <w:rPr>
          <w:iCs/>
          <w:sz w:val="28"/>
          <w:szCs w:val="28"/>
        </w:rPr>
        <w:t>Мейк</w:t>
      </w:r>
      <w:proofErr w:type="spellEnd"/>
      <w:r>
        <w:rPr>
          <w:iCs/>
          <w:sz w:val="28"/>
          <w:szCs w:val="28"/>
        </w:rPr>
        <w:t xml:space="preserve">» </w:t>
      </w:r>
      <w:r>
        <w:rPr>
          <w:sz w:val="28"/>
          <w:szCs w:val="28"/>
        </w:rPr>
        <w:t xml:space="preserve">указывает на неправомерные действия конкурсной комиссии, выразившиеся, по мнению Заявителя, </w:t>
      </w:r>
      <w:r>
        <w:rPr>
          <w:sz w:val="28"/>
          <w:szCs w:val="28"/>
        </w:rPr>
        <w:br/>
        <w:t>в нарушении оформления протокола рассмотрения и оценки первых частей заявок, а также в нарушении порядка оценки вторых частей заявок.</w:t>
      </w:r>
    </w:p>
    <w:p w:rsidR="00E61FFF" w:rsidRDefault="00E61FFF" w:rsidP="00E61FFF">
      <w:pPr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Заказчик с доводами жалобы не согласен.</w:t>
      </w:r>
    </w:p>
    <w:p w:rsidR="00E61FFF" w:rsidRDefault="00E61FFF" w:rsidP="00E61FFF">
      <w:pPr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изложенная в жалобе, пояснения представителей Заказчика, представленные документы подтверждают следующие обстоятельства.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Согласно ч. 2 ст. 54.5 Закона о контрактной системе, по результатам рассмотрения и оценки первых частей заявок на участие в открытом конкурсе в электронной форме, содержащих информацию, предусмотренную частью 4 статьи 54.4 настоящего Федерального закона, конкурсная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основаниям, которые предусмотрены частью 3 настоящей статьи.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силу ч. 6 ст. 54.5 Закона о контрактной системе,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конкурсе,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конкурсе. Указанный протокол должен содержать информацию: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о месте, дате, времени рассмотрения и оценки первых частей заявок на участие в открытом конкурсе в электронной форме;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об идентификационных номерах заявок на участие в открытом конкурсе в электронной форме;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 допуске участника закупки, подавшего заявку на участие в открытом конкурсе в электронной форме, и признании его участником такого конкурса </w:t>
      </w:r>
      <w:r>
        <w:rPr>
          <w:sz w:val="28"/>
          <w:szCs w:val="28"/>
        </w:rPr>
        <w:lastRenderedPageBreak/>
        <w:t>или об отказе в допуске к участию в таком конкурсе с обоснованием этого решения, в том числе с указанием положений законодательства Российской Федерации о контрактной системе в сфере закупок, конкурсной документации, которым не соответствует заявка на участие в открытом конкурсе в электронной форме данного участника, и положений заявки на участие в открытом конкурсе в электронной форме, которые не соответствуют требованиям, установленным конкурсной документацией;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конкурсе;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о порядке оценки заявок на участие в открытом конкурсе в электронной форме по критерию, установленному пунктом 3 части 1 статьи 32 настоящего Федерального закона (при установлении этого критерия в конкурсной документации),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критерию, предусмотренному конкурсной документацией.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силу ч. 7 ст. 54.5 Закона о контрактной системе, к протоколу, указанному в части 6 настоящей статьи, прилагается информация, предусмотренная пунктом 2 части 4 статьи 54.4 настоящего Федерального закона (при наличии такой информации), и не позднее даты окончания срока рассмотрения и оценки первых частей заявок на участие в открытом конкурсе в электронной форме указанный протокол направляется заказчиком оператору электронной площадки.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 2 ч. 4 ст. 54.4</w:t>
      </w:r>
      <w:r>
        <w:t xml:space="preserve"> </w:t>
      </w:r>
      <w:r>
        <w:rPr>
          <w:sz w:val="28"/>
          <w:szCs w:val="28"/>
        </w:rPr>
        <w:t>Закона о контрактной системе, предусматривает наличие в составе заявки предложение участника открытого конкурса в электронной форме о качественных, функциональных и об экологических характеристиках объекта закупки при установлении в конкурсной документации критерия, предусмотренного пунктом 3 части 1 статьи 32 настоящего Федерального закона.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содержания протокола рассмотрения и оценки первых частей заявок на участие в открытом конкурсе в электронной форме от 02.07.2020 №ПРОI1, размещенном в ЕИС 02.07.2020, следует, что информация, предусмотренная </w:t>
      </w:r>
      <w:r>
        <w:rPr>
          <w:sz w:val="28"/>
          <w:szCs w:val="28"/>
        </w:rPr>
        <w:br/>
        <w:t>ч. 7 ст. 54.5 Закона о контрактной системе, отсутствует.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Комиссия УФАС отмечает, что</w:t>
      </w:r>
      <w:r>
        <w:t xml:space="preserve"> </w:t>
      </w:r>
      <w:r>
        <w:rPr>
          <w:sz w:val="28"/>
          <w:szCs w:val="28"/>
        </w:rPr>
        <w:t xml:space="preserve">08.07.2020 Заказчиком </w:t>
      </w:r>
      <w:r>
        <w:rPr>
          <w:sz w:val="28"/>
          <w:szCs w:val="28"/>
        </w:rPr>
        <w:br/>
        <w:t xml:space="preserve">в ЕИС опубликованы сведения, предусмотренные ч. 7 ст. 54.5 Закона </w:t>
      </w:r>
      <w:r>
        <w:rPr>
          <w:sz w:val="28"/>
          <w:szCs w:val="28"/>
        </w:rPr>
        <w:br/>
        <w:t xml:space="preserve">о контрактной системе. В письменном отзыве на жалобу Заказчик пояснил, что задержка размещения информации, предусмотренной ч. 7 ст. 54.5 Закона о </w:t>
      </w:r>
      <w:r>
        <w:rPr>
          <w:sz w:val="28"/>
          <w:szCs w:val="28"/>
        </w:rPr>
        <w:lastRenderedPageBreak/>
        <w:t xml:space="preserve">контрактной системе, была связана со спецификой работы электронной торговой площадки. 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указанных обстоятельствах Комиссия УФАС приходит к выводу о том, что на момент рассмотрения жалобы содержащийся в ЕИС протокол рассмотрения первых частей заявок содержит информацию, предусмотренную Законом о контрактной системе.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Относительно доводов Заявителя о том, что при оценке второй части заявки </w:t>
      </w:r>
      <w:bookmarkStart w:id="0" w:name="_Hlk45668210"/>
      <w:r>
        <w:rPr>
          <w:sz w:val="28"/>
          <w:szCs w:val="28"/>
        </w:rPr>
        <w:t>МОО «Чистые Игры»</w:t>
      </w:r>
      <w:bookmarkEnd w:id="0"/>
      <w:r>
        <w:rPr>
          <w:sz w:val="28"/>
          <w:szCs w:val="28"/>
        </w:rPr>
        <w:t xml:space="preserve"> конкурсной комиссией Заказчика нарушен установленный Заказчиком порядок оценки, поскольку у данного участника отсутствует опыт выполнения работ, указанных в документации, Комиссия УФАС отмечает следующее.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подведения итогов открытого конкурса </w:t>
      </w:r>
      <w:r>
        <w:rPr>
          <w:sz w:val="28"/>
          <w:szCs w:val="28"/>
        </w:rPr>
        <w:br/>
        <w:t>в электронной форме от 03.07.2020 №ППИ1, МОО «Чистые Игры» по критерию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уровня» получено 20 баллов.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содержания конкурсной документации следует, что Заказчиком установлено, что для определения рейтинга заявки по критерию «Квалификация участника закупки, в том числе наличие у него финансовых ресурсов, оборудования и других материальных ресурсов, принадлежащих ему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устанавливаются следующие показатели квалификации и его значения: «Опыт участника по успешному оказанию услуг сопоставимого характера и объема».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Содержание показателя: Опыт участника конкурса по успешному оказанию услуг сопоставимого характера и объема по предмету конкурса выражается в суммарной стоимости заключенных и исполненных контрактов/договоров, аналогичных предмету конкурса (под услугами сопоставимого характера и объема будут считаться услуги по организации и проведению экологических массовых мероприятий регионального и федерального масштабов с участием не менее 1000 человек), подтвержденных представленными в составе заявки копиями контрактов/договоров, копиями актов сдачи-приемки оказанных услуг.  Опытом участника конкурса по успешному оказанию услуг будет признан опыт по ранее успешно (т.е. без штрафных санкций, неустоек, без нарушения сроков и качества оказания услуг) реализованным контрактам (договорам), за период с 01.01.2017 по 31.12.2019, с приложением копий указанных контрактов (договоров) со всеми приложениями, которые являются их неотъемлемой частью и итоговых актов оказанных услуг, подтверждающих их выполнение, копии платежных поручений, подтверждающих факт перечисления денег за оказанные услуги. </w:t>
      </w:r>
      <w:r>
        <w:rPr>
          <w:sz w:val="28"/>
          <w:szCs w:val="28"/>
        </w:rPr>
        <w:lastRenderedPageBreak/>
        <w:t>В качестве сведений, подтверждающих опыт участника конкурса, предоставляются (по каждому контракту (договору)): номер и дата заключения контракта (договора); предмет контракта (договора); цена контракта (договора), руб.; номер реестровой записи контракта (договора) в «Реестре контрактов, заключенных заказчиками» или «Реестре договоров, заключенных заказчиками по результатам закупки» в Единой информационной системе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присуждения баллов по показателю «Опыт участника по успешному оказанию услуг сопоставимого характера» оценивается суммарная стоимость исполненных контрактов (договоров), аналогичных предмету конкурса за период с 01.01.2017 г. по 31.12.2019. 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Комиссия оценивает опыт участника конкурса по успешному оказанию услуг сопоставимого характера и объема путем изучения данных, представленных в заявке участника конкурса, в случае их наличия.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Наличие опыта подтверждается документами, предоставляемыми участником в составе заявки, а также заполненной рекомендованной формой «Квалификация участника конкурса» (приложение № 2 к конкурсной документации).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несоответствия сумм, указанных в исполненных контрактах/договорах и актах сдачи-приемки оказанных услуг, к таким контрактам/договорам, комиссия будет учитывать суммы указанные в актах сдачи-приемки оказанных услуг. 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предоставления неполного комплекта документов по контракту/договору и/или не предоставления форм «Опыт участника по успешному выполнению работ сопоставимого характера и объема» и «исполненный контракт/договор», либо выявления несоответствия сведений в представленных документах формам «Опыт участника по успешному оказанию услуг сопоставимого характера и объема» и «исполненный контракт/договор», комиссия не будет учитывать такой контракт/договор для подсчета оценки.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целей расчета баллов по показателю комиссия учитывает совокупный объем по представленным контрактам/договорам, удовлетворяющим требованиям настоящего пункта.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Отсутствие в составе заявки участника документов, подтверждающих квалификацию (показателя квалификации), не являются основанием для отказа в допуске к участию в конкурсе, но в этом случае заявка по данному критерию (показателю квалификации) оцениваться не будет 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исходя из содержания конкурсной документации следует, что подтверждением опыта участника закупки является представление не только копии государственных или муниципальных контрактов, но и гражданско-правовых договоров.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Из содержания второй части заявки МОО «Чистые Игры» следует, что участником закупки представлены копии 12 договоров на общую сумму </w:t>
      </w:r>
      <w:r>
        <w:rPr>
          <w:sz w:val="28"/>
          <w:szCs w:val="28"/>
        </w:rPr>
        <w:br/>
        <w:t>12 611 182, 00 рублей.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как следует из материалов дела, при оценке заявки </w:t>
      </w:r>
      <w:r>
        <w:rPr>
          <w:sz w:val="28"/>
          <w:szCs w:val="28"/>
        </w:rPr>
        <w:br/>
        <w:t>МОО «Чистые Игры» конкурсной комиссией были приняты только 3 договора на общую сумму 3 152 798, 00 рублей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довод Заявителя об отсутствии у </w:t>
      </w:r>
      <w:bookmarkStart w:id="1" w:name="_Hlk45669294"/>
      <w:r>
        <w:rPr>
          <w:sz w:val="28"/>
          <w:szCs w:val="28"/>
        </w:rPr>
        <w:t xml:space="preserve">МОО «Чистые Игры» </w:t>
      </w:r>
      <w:bookmarkEnd w:id="1"/>
      <w:r>
        <w:rPr>
          <w:sz w:val="28"/>
          <w:szCs w:val="28"/>
        </w:rPr>
        <w:t>опыта</w:t>
      </w:r>
      <w:r>
        <w:t xml:space="preserve"> </w:t>
      </w:r>
      <w:r>
        <w:rPr>
          <w:sz w:val="28"/>
          <w:szCs w:val="28"/>
        </w:rPr>
        <w:t>по успешному оказанию услуг Комиссия УФАС находит несоответствующим фактическим обстоятельствам дела.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Комиссия УФАС не усматривает в действиях конкурсной комиссии признаков нарушения Закона о контрактной системе при оценке второй части заявки МОО «Чистые Игры».  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указанных обстоятельствах Комиссия УФАС находит доводы Заявителя необоснованными.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61FFF" w:rsidRDefault="00E61FFF" w:rsidP="00E61FF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УФАС, руководствуясь ст. ст. 2, 99, 105, 106 Закона </w:t>
      </w:r>
      <w:r>
        <w:rPr>
          <w:sz w:val="28"/>
          <w:szCs w:val="28"/>
        </w:rPr>
        <w:br/>
        <w:t>о контрактной системе, Административным регламентом,</w:t>
      </w:r>
    </w:p>
    <w:p w:rsidR="00E61FFF" w:rsidRDefault="00E61FFF" w:rsidP="00E61FFF">
      <w:pPr>
        <w:ind w:right="-5" w:firstLine="720"/>
        <w:jc w:val="both"/>
        <w:rPr>
          <w:sz w:val="28"/>
          <w:szCs w:val="28"/>
        </w:rPr>
      </w:pPr>
    </w:p>
    <w:p w:rsidR="00E61FFF" w:rsidRDefault="00E61FFF" w:rsidP="00E61F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РЕШИЛА: 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E61FFF" w:rsidRDefault="00E61FFF" w:rsidP="00E61FFF">
      <w:pPr>
        <w:tabs>
          <w:tab w:val="left" w:pos="1134"/>
        </w:tabs>
        <w:ind w:right="-5" w:firstLine="72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Признать жалобу </w:t>
      </w:r>
      <w:r>
        <w:rPr>
          <w:iCs/>
          <w:sz w:val="28"/>
          <w:szCs w:val="28"/>
        </w:rPr>
        <w:t>ООО «Корпорация «</w:t>
      </w:r>
      <w:proofErr w:type="spellStart"/>
      <w:r>
        <w:rPr>
          <w:iCs/>
          <w:sz w:val="28"/>
          <w:szCs w:val="28"/>
        </w:rPr>
        <w:t>Мейк</w:t>
      </w:r>
      <w:proofErr w:type="spellEnd"/>
      <w:r>
        <w:rPr>
          <w:iCs/>
          <w:sz w:val="28"/>
          <w:szCs w:val="28"/>
        </w:rPr>
        <w:t xml:space="preserve">» необоснованной </w:t>
      </w:r>
    </w:p>
    <w:p w:rsidR="00E61FFF" w:rsidRDefault="00E61FFF" w:rsidP="00E61FFF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</w:p>
    <w:p w:rsidR="00E61FFF" w:rsidRDefault="00E61FFF" w:rsidP="00E61FFF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E61FFF" w:rsidRDefault="00E61FFF" w:rsidP="00E61FFF">
      <w:pPr>
        <w:tabs>
          <w:tab w:val="left" w:pos="2700"/>
        </w:tabs>
        <w:ind w:firstLine="720"/>
        <w:jc w:val="both"/>
        <w:rPr>
          <w:i/>
          <w:szCs w:val="28"/>
        </w:rPr>
      </w:pPr>
      <w:bookmarkStart w:id="2" w:name="_GoBack"/>
      <w:bookmarkEnd w:id="2"/>
    </w:p>
    <w:p w:rsidR="00E61FFF" w:rsidRDefault="00E61FFF" w:rsidP="00E61FFF">
      <w:pPr>
        <w:tabs>
          <w:tab w:val="left" w:pos="2700"/>
        </w:tabs>
        <w:ind w:firstLine="720"/>
        <w:jc w:val="both"/>
        <w:rPr>
          <w:i/>
          <w:szCs w:val="28"/>
        </w:rPr>
      </w:pPr>
      <w:r>
        <w:rPr>
          <w:i/>
          <w:szCs w:val="28"/>
        </w:rPr>
        <w:t xml:space="preserve">Настоящее решение может быть обжаловано в судебном порядке </w:t>
      </w:r>
      <w:r>
        <w:rPr>
          <w:i/>
          <w:szCs w:val="28"/>
        </w:rPr>
        <w:br/>
        <w:t>в течение трёх месяцев со дня принятия.</w:t>
      </w:r>
    </w:p>
    <w:p w:rsidR="00E61FFF" w:rsidRDefault="00E61FFF" w:rsidP="00E61FFF">
      <w:pPr>
        <w:tabs>
          <w:tab w:val="left" w:pos="2700"/>
        </w:tabs>
        <w:ind w:firstLine="720"/>
        <w:jc w:val="both"/>
        <w:rPr>
          <w:i/>
          <w:szCs w:val="28"/>
        </w:rPr>
      </w:pPr>
    </w:p>
    <w:p w:rsidR="0055523C" w:rsidRDefault="0055523C"/>
    <w:sectPr w:rsidR="0055523C" w:rsidSect="00E61FFF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773" w:rsidRDefault="00C33773" w:rsidP="00E61FFF">
      <w:r>
        <w:separator/>
      </w:r>
    </w:p>
  </w:endnote>
  <w:endnote w:type="continuationSeparator" w:id="0">
    <w:p w:rsidR="00C33773" w:rsidRDefault="00C33773" w:rsidP="00E61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773" w:rsidRDefault="00C33773" w:rsidP="00E61FFF">
      <w:r>
        <w:separator/>
      </w:r>
    </w:p>
  </w:footnote>
  <w:footnote w:type="continuationSeparator" w:id="0">
    <w:p w:rsidR="00C33773" w:rsidRDefault="00C33773" w:rsidP="00E61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6111817"/>
      <w:docPartObj>
        <w:docPartGallery w:val="Page Numbers (Top of Page)"/>
        <w:docPartUnique/>
      </w:docPartObj>
    </w:sdtPr>
    <w:sdtEndPr/>
    <w:sdtContent>
      <w:p w:rsidR="00E61FFF" w:rsidRDefault="00E61FF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9E0">
          <w:rPr>
            <w:noProof/>
          </w:rPr>
          <w:t>5</w:t>
        </w:r>
        <w:r>
          <w:fldChar w:fldCharType="end"/>
        </w:r>
      </w:p>
    </w:sdtContent>
  </w:sdt>
  <w:p w:rsidR="00E61FFF" w:rsidRDefault="00E61FF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129"/>
    <w:rsid w:val="00287129"/>
    <w:rsid w:val="0055523C"/>
    <w:rsid w:val="00683A58"/>
    <w:rsid w:val="007C04FD"/>
    <w:rsid w:val="00C33773"/>
    <w:rsid w:val="00E61FFF"/>
    <w:rsid w:val="00EA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BA1D2"/>
  <w15:chartTrackingRefBased/>
  <w15:docId w15:val="{19ABD0FC-E5D3-40F7-85BA-BE54D066E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F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1FF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61F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61FF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61F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83A5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83A5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4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1976</Words>
  <Characters>11265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2020-07-15T11:29:00Z</cp:lastPrinted>
  <dcterms:created xsi:type="dcterms:W3CDTF">2020-07-15T11:18:00Z</dcterms:created>
  <dcterms:modified xsi:type="dcterms:W3CDTF">2020-07-15T11:30:00Z</dcterms:modified>
</cp:coreProperties>
</file>