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F1EEB" w:rsidRDefault="005F1EEB" w:rsidP="00A8222A">
      <w:pPr>
        <w:ind w:left="5103" w:firstLine="0"/>
        <w:jc w:val="left"/>
        <w:rPr>
          <w:b/>
          <w:szCs w:val="28"/>
        </w:rPr>
      </w:pPr>
    </w:p>
    <w:p w:rsidR="00556EBB" w:rsidRDefault="00556EBB" w:rsidP="00235DF1">
      <w:pPr>
        <w:ind w:left="5103" w:firstLine="0"/>
        <w:jc w:val="left"/>
        <w:rPr>
          <w:b/>
          <w:szCs w:val="28"/>
        </w:rPr>
      </w:pPr>
    </w:p>
    <w:p w:rsidR="00BD4022" w:rsidRPr="00BD4022" w:rsidRDefault="00BD4022" w:rsidP="00BD4022">
      <w:pPr>
        <w:ind w:left="5812" w:firstLine="0"/>
        <w:jc w:val="left"/>
        <w:rPr>
          <w:b/>
          <w:szCs w:val="28"/>
        </w:rPr>
      </w:pPr>
      <w:r w:rsidRPr="00BD4022">
        <w:rPr>
          <w:b/>
          <w:szCs w:val="28"/>
        </w:rPr>
        <w:t xml:space="preserve">Аппарат </w:t>
      </w:r>
      <w:r>
        <w:rPr>
          <w:b/>
          <w:szCs w:val="28"/>
        </w:rPr>
        <w:t>С</w:t>
      </w:r>
      <w:r w:rsidRPr="00BD4022">
        <w:rPr>
          <w:b/>
          <w:szCs w:val="28"/>
        </w:rPr>
        <w:t xml:space="preserve">овета депутатов муниципального округа </w:t>
      </w:r>
    </w:p>
    <w:p w:rsidR="001A26BF" w:rsidRPr="001A26BF" w:rsidRDefault="00A87540" w:rsidP="00BD4022">
      <w:pPr>
        <w:ind w:left="5812" w:firstLine="0"/>
        <w:jc w:val="left"/>
        <w:rPr>
          <w:b/>
          <w:szCs w:val="28"/>
        </w:rPr>
      </w:pPr>
      <w:r w:rsidRPr="00A87540">
        <w:rPr>
          <w:b/>
          <w:szCs w:val="28"/>
        </w:rPr>
        <w:t>Чертаново Северное</w:t>
      </w:r>
    </w:p>
    <w:p w:rsidR="0077098D" w:rsidRPr="004E16DC" w:rsidRDefault="0077098D" w:rsidP="0077098D">
      <w:pPr>
        <w:jc w:val="left"/>
        <w:rPr>
          <w:rFonts w:eastAsia="Times New Roman"/>
          <w:b/>
          <w:bCs/>
          <w:szCs w:val="28"/>
          <w:lang w:eastAsia="ru-RU"/>
        </w:rPr>
      </w:pPr>
    </w:p>
    <w:p w:rsidR="0077098D" w:rsidRPr="00556EBB" w:rsidRDefault="0077098D" w:rsidP="005C0B7E">
      <w:pPr>
        <w:rPr>
          <w:rFonts w:eastAsia="Times New Roman"/>
          <w:szCs w:val="28"/>
          <w:lang w:eastAsia="ru-RU"/>
        </w:rPr>
      </w:pPr>
      <w:r w:rsidRPr="00556EBB">
        <w:rPr>
          <w:rFonts w:eastAsia="Times New Roman"/>
          <w:szCs w:val="28"/>
          <w:lang w:eastAsia="ru-RU"/>
        </w:rPr>
        <w:t xml:space="preserve">В соответствии с полномочиями, предоставленными статьями 99, 106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556EBB">
        <w:rPr>
          <w:rFonts w:eastAsia="Times New Roman"/>
          <w:szCs w:val="28"/>
          <w:lang w:eastAsia="ru-RU"/>
        </w:rPr>
        <w:br/>
      </w:r>
      <w:r w:rsidRPr="00556EBB">
        <w:rPr>
          <w:rFonts w:eastAsia="Times New Roman"/>
          <w:szCs w:val="28"/>
          <w:lang w:eastAsia="ru-RU"/>
        </w:rPr>
        <w:t xml:space="preserve">и муниципальных нужд» (далее – Закон о контрактной системе), </w:t>
      </w:r>
      <w:r w:rsidR="00807E35" w:rsidRPr="00807E35">
        <w:rPr>
          <w:rFonts w:eastAsia="Times New Roman"/>
          <w:szCs w:val="28"/>
          <w:lang w:eastAsia="ru-RU"/>
        </w:rPr>
        <w:t>1</w:t>
      </w:r>
      <w:r w:rsidR="00A87540">
        <w:rPr>
          <w:rFonts w:eastAsia="Times New Roman"/>
          <w:szCs w:val="28"/>
          <w:lang w:eastAsia="ru-RU"/>
        </w:rPr>
        <w:t>4</w:t>
      </w:r>
      <w:r w:rsidRPr="00556EBB">
        <w:rPr>
          <w:rFonts w:eastAsia="Times New Roman"/>
          <w:szCs w:val="28"/>
          <w:lang w:eastAsia="ru-RU"/>
        </w:rPr>
        <w:t>.</w:t>
      </w:r>
      <w:r w:rsidR="00807E35" w:rsidRPr="00807E35">
        <w:rPr>
          <w:rFonts w:eastAsia="Times New Roman"/>
          <w:szCs w:val="28"/>
          <w:lang w:eastAsia="ru-RU"/>
        </w:rPr>
        <w:t>01</w:t>
      </w:r>
      <w:r w:rsidR="00807E35">
        <w:rPr>
          <w:rFonts w:eastAsia="Times New Roman"/>
          <w:szCs w:val="28"/>
          <w:lang w:eastAsia="ru-RU"/>
        </w:rPr>
        <w:t>.20</w:t>
      </w:r>
      <w:r w:rsidR="00807E35" w:rsidRPr="00807E35">
        <w:rPr>
          <w:rFonts w:eastAsia="Times New Roman"/>
          <w:szCs w:val="28"/>
          <w:lang w:eastAsia="ru-RU"/>
        </w:rPr>
        <w:t>20</w:t>
      </w:r>
      <w:r w:rsidRPr="00556EBB">
        <w:rPr>
          <w:rFonts w:eastAsia="Times New Roman"/>
          <w:szCs w:val="28"/>
          <w:lang w:eastAsia="ru-RU"/>
        </w:rPr>
        <w:t xml:space="preserve"> комиссией </w:t>
      </w:r>
      <w:r w:rsidRPr="00556EBB">
        <w:rPr>
          <w:szCs w:val="28"/>
        </w:rPr>
        <w:t xml:space="preserve">Главного контрольного управления города Москвы </w:t>
      </w:r>
      <w:r w:rsidR="00D902D2">
        <w:rPr>
          <w:szCs w:val="28"/>
        </w:rPr>
        <w:br/>
      </w:r>
      <w:r w:rsidRPr="00556EBB">
        <w:rPr>
          <w:szCs w:val="28"/>
        </w:rPr>
        <w:t xml:space="preserve">по осуществлению контроля в сфере закупок </w:t>
      </w:r>
      <w:r w:rsidRPr="00556EBB">
        <w:rPr>
          <w:rFonts w:eastAsia="Times New Roman"/>
          <w:szCs w:val="28"/>
          <w:lang w:eastAsia="ru-RU"/>
        </w:rPr>
        <w:t xml:space="preserve">(далее – комиссия Главконтроля), утвержденной приказом Главного контрольного управления города Москвы от 03.03.2014 № 15, рассмотрена жалоба </w:t>
      </w:r>
      <w:r w:rsidR="00235DF1" w:rsidRPr="00556EBB">
        <w:rPr>
          <w:szCs w:val="28"/>
        </w:rPr>
        <w:t>Салкина М.И.</w:t>
      </w:r>
      <w:r w:rsidR="00A8222A" w:rsidRPr="00556EBB">
        <w:rPr>
          <w:rFonts w:eastAsia="Times New Roman"/>
          <w:szCs w:val="28"/>
          <w:lang w:eastAsia="ru-RU"/>
        </w:rPr>
        <w:t xml:space="preserve"> </w:t>
      </w:r>
      <w:r w:rsidR="00807E35">
        <w:rPr>
          <w:szCs w:val="28"/>
        </w:rPr>
        <w:t xml:space="preserve">на положения закупочной документации с реестровым номером </w:t>
      </w:r>
      <w:r w:rsidR="00A87540" w:rsidRPr="00A87540">
        <w:rPr>
          <w:szCs w:val="28"/>
        </w:rPr>
        <w:t>0173300002019000002</w:t>
      </w:r>
      <w:r w:rsidR="00BD4022" w:rsidRPr="00A87540">
        <w:rPr>
          <w:szCs w:val="28"/>
        </w:rPr>
        <w:br/>
      </w:r>
      <w:r w:rsidR="00A87540" w:rsidRPr="00A87540">
        <w:rPr>
          <w:szCs w:val="28"/>
        </w:rPr>
        <w:t>на оказание услуг по организации и проведению праздничных и иных мероприятий на территории муниципального округа Чертаново Северное</w:t>
      </w:r>
      <w:r w:rsidR="00807E35" w:rsidRPr="00556EBB">
        <w:rPr>
          <w:rFonts w:eastAsia="Times New Roman"/>
          <w:szCs w:val="28"/>
          <w:lang w:eastAsia="ru-RU"/>
        </w:rPr>
        <w:t xml:space="preserve"> </w:t>
      </w:r>
      <w:r w:rsidR="00235DF1" w:rsidRPr="00556EBB">
        <w:rPr>
          <w:rFonts w:eastAsia="Times New Roman"/>
          <w:szCs w:val="28"/>
          <w:lang w:eastAsia="ru-RU"/>
        </w:rPr>
        <w:t>(далее – Конкурс</w:t>
      </w:r>
      <w:r w:rsidR="005C0B7E" w:rsidRPr="00556EBB">
        <w:rPr>
          <w:rFonts w:eastAsia="Times New Roman"/>
          <w:szCs w:val="28"/>
          <w:lang w:eastAsia="ru-RU"/>
        </w:rPr>
        <w:t>)</w:t>
      </w:r>
      <w:r w:rsidRPr="00556EBB">
        <w:rPr>
          <w:rFonts w:eastAsia="Times New Roman"/>
          <w:szCs w:val="28"/>
          <w:lang w:eastAsia="ru-RU"/>
        </w:rPr>
        <w:t>.</w:t>
      </w:r>
    </w:p>
    <w:p w:rsidR="0077098D" w:rsidRPr="00556EBB" w:rsidRDefault="0077098D" w:rsidP="0077098D">
      <w:pPr>
        <w:rPr>
          <w:szCs w:val="28"/>
        </w:rPr>
      </w:pPr>
      <w:r w:rsidRPr="00556EBB">
        <w:rPr>
          <w:rFonts w:eastAsia="Times New Roman"/>
          <w:szCs w:val="28"/>
          <w:lang w:eastAsia="ru-RU"/>
        </w:rPr>
        <w:t>По результатам рассмотрения</w:t>
      </w:r>
      <w:r w:rsidRPr="00556EBB">
        <w:rPr>
          <w:szCs w:val="28"/>
        </w:rPr>
        <w:t xml:space="preserve"> указанной жалобы комиссией Главконтроля</w:t>
      </w:r>
      <w:r w:rsidRPr="00556EBB">
        <w:rPr>
          <w:rFonts w:eastAsia="Times New Roman"/>
          <w:i/>
          <w:szCs w:val="28"/>
          <w:lang w:eastAsia="ru-RU"/>
        </w:rPr>
        <w:t xml:space="preserve"> </w:t>
      </w:r>
      <w:r w:rsidRPr="00556EBB">
        <w:rPr>
          <w:rFonts w:eastAsia="Times New Roman"/>
          <w:szCs w:val="28"/>
          <w:lang w:eastAsia="ru-RU"/>
        </w:rPr>
        <w:t xml:space="preserve">выявлены нарушения законодательства Российской Федерации </w:t>
      </w:r>
      <w:r w:rsidR="00556EBB">
        <w:rPr>
          <w:rFonts w:eastAsia="Times New Roman"/>
          <w:szCs w:val="28"/>
          <w:lang w:eastAsia="ru-RU"/>
        </w:rPr>
        <w:br/>
      </w:r>
      <w:r w:rsidRPr="00556EBB">
        <w:rPr>
          <w:szCs w:val="28"/>
        </w:rPr>
        <w:t>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7098D" w:rsidRPr="00556EBB" w:rsidRDefault="0077098D" w:rsidP="00235DF1">
      <w:pPr>
        <w:rPr>
          <w:rFonts w:eastAsia="Times New Roman"/>
          <w:szCs w:val="28"/>
          <w:lang w:eastAsia="ru-RU"/>
        </w:rPr>
      </w:pPr>
      <w:r w:rsidRPr="00556EBB">
        <w:rPr>
          <w:szCs w:val="28"/>
        </w:rPr>
        <w:t xml:space="preserve">На основании изложенного, руководствуясь частью 22 статьи 99 Закона </w:t>
      </w:r>
      <w:r w:rsidR="00235DF1" w:rsidRPr="00556EBB">
        <w:rPr>
          <w:szCs w:val="28"/>
        </w:rPr>
        <w:br/>
      </w:r>
      <w:r w:rsidRPr="00556EBB">
        <w:rPr>
          <w:szCs w:val="28"/>
        </w:rPr>
        <w:t xml:space="preserve">о контрактной системе, комиссия Главконтроля предписывает </w:t>
      </w:r>
      <w:r w:rsidR="00235DF1" w:rsidRPr="00556EBB">
        <w:rPr>
          <w:rFonts w:eastAsia="Times New Roman"/>
          <w:szCs w:val="28"/>
          <w:lang w:eastAsia="ru-RU"/>
        </w:rPr>
        <w:t>аппарат</w:t>
      </w:r>
      <w:r w:rsidR="00D902D2">
        <w:rPr>
          <w:rFonts w:eastAsia="Times New Roman"/>
          <w:szCs w:val="28"/>
          <w:lang w:eastAsia="ru-RU"/>
        </w:rPr>
        <w:t>у</w:t>
      </w:r>
      <w:r w:rsidR="00235DF1" w:rsidRPr="00556EBB">
        <w:rPr>
          <w:rFonts w:eastAsia="Times New Roman"/>
          <w:szCs w:val="28"/>
          <w:lang w:eastAsia="ru-RU"/>
        </w:rPr>
        <w:t xml:space="preserve"> </w:t>
      </w:r>
      <w:r w:rsidR="005F4A6A">
        <w:rPr>
          <w:rFonts w:eastAsia="Times New Roman"/>
          <w:szCs w:val="28"/>
          <w:lang w:eastAsia="ru-RU"/>
        </w:rPr>
        <w:t>Совет</w:t>
      </w:r>
      <w:r w:rsidR="00235DF1" w:rsidRPr="00556EBB">
        <w:rPr>
          <w:rFonts w:eastAsia="Times New Roman"/>
          <w:szCs w:val="28"/>
          <w:lang w:eastAsia="ru-RU"/>
        </w:rPr>
        <w:t>а депутато</w:t>
      </w:r>
      <w:r w:rsidR="00D902D2">
        <w:rPr>
          <w:rFonts w:eastAsia="Times New Roman"/>
          <w:szCs w:val="28"/>
          <w:lang w:eastAsia="ru-RU"/>
        </w:rPr>
        <w:t>в</w:t>
      </w:r>
      <w:r w:rsidR="00235DF1" w:rsidRPr="00556EBB">
        <w:rPr>
          <w:rFonts w:eastAsia="Times New Roman"/>
          <w:szCs w:val="28"/>
          <w:lang w:eastAsia="ru-RU"/>
        </w:rPr>
        <w:t xml:space="preserve"> муниципального округа</w:t>
      </w:r>
      <w:r w:rsidR="00BD4022" w:rsidRPr="00BD4022">
        <w:t xml:space="preserve"> </w:t>
      </w:r>
      <w:r w:rsidR="00DD652F" w:rsidRPr="00DD652F">
        <w:rPr>
          <w:rFonts w:eastAsia="Times New Roman"/>
          <w:szCs w:val="28"/>
          <w:lang w:eastAsia="ru-RU"/>
        </w:rPr>
        <w:t>Чертаново Северное</w:t>
      </w:r>
      <w:r w:rsidRPr="00556EBB">
        <w:rPr>
          <w:rFonts w:eastAsia="Times New Roman"/>
          <w:szCs w:val="28"/>
          <w:lang w:eastAsia="ru-RU"/>
        </w:rPr>
        <w:t>:</w:t>
      </w:r>
    </w:p>
    <w:p w:rsidR="003B4C10" w:rsidRPr="003B4C10" w:rsidRDefault="003B4C10" w:rsidP="003B4C10">
      <w:pPr>
        <w:rPr>
          <w:szCs w:val="28"/>
        </w:rPr>
      </w:pPr>
      <w:r>
        <w:rPr>
          <w:szCs w:val="28"/>
        </w:rPr>
        <w:t>1. </w:t>
      </w:r>
      <w:r w:rsidRPr="003B4C10">
        <w:rPr>
          <w:szCs w:val="28"/>
        </w:rPr>
        <w:t xml:space="preserve">Отменить протоколы, составленные в ходе проведения Конкурса </w:t>
      </w:r>
      <w:r>
        <w:rPr>
          <w:szCs w:val="28"/>
        </w:rPr>
        <w:br/>
      </w:r>
      <w:r w:rsidRPr="003B4C10">
        <w:rPr>
          <w:szCs w:val="28"/>
        </w:rPr>
        <w:t>(при наличии)</w:t>
      </w:r>
      <w:r w:rsidR="00E241ED">
        <w:rPr>
          <w:szCs w:val="28"/>
        </w:rPr>
        <w:t>.</w:t>
      </w:r>
    </w:p>
    <w:p w:rsidR="003B4C10" w:rsidRPr="003B4C10" w:rsidRDefault="003B4C10" w:rsidP="003B4C10">
      <w:pPr>
        <w:rPr>
          <w:szCs w:val="28"/>
        </w:rPr>
      </w:pPr>
      <w:r w:rsidRPr="003B4C10">
        <w:rPr>
          <w:szCs w:val="28"/>
        </w:rPr>
        <w:t>2. Обеспечить:</w:t>
      </w:r>
    </w:p>
    <w:p w:rsidR="003B4C10" w:rsidRPr="003B4C10" w:rsidRDefault="003B4C10" w:rsidP="003B4C10">
      <w:pPr>
        <w:rPr>
          <w:szCs w:val="28"/>
        </w:rPr>
      </w:pPr>
      <w:r w:rsidRPr="003B4C10">
        <w:rPr>
          <w:szCs w:val="28"/>
        </w:rPr>
        <w:t>-</w:t>
      </w:r>
      <w:r w:rsidRPr="003B4C10">
        <w:rPr>
          <w:szCs w:val="28"/>
        </w:rPr>
        <w:tab/>
        <w:t xml:space="preserve">возврат участникам закупки ранее поданные заявки на участие </w:t>
      </w:r>
      <w:r>
        <w:rPr>
          <w:szCs w:val="28"/>
        </w:rPr>
        <w:br/>
      </w:r>
      <w:r w:rsidRPr="003B4C10">
        <w:rPr>
          <w:szCs w:val="28"/>
        </w:rPr>
        <w:t>в Конкурсе;</w:t>
      </w:r>
    </w:p>
    <w:p w:rsidR="003B4C10" w:rsidRPr="003B4C10" w:rsidRDefault="003B4C10" w:rsidP="003B4C10">
      <w:pPr>
        <w:rPr>
          <w:szCs w:val="28"/>
        </w:rPr>
      </w:pPr>
      <w:r w:rsidRPr="003B4C10">
        <w:rPr>
          <w:szCs w:val="28"/>
        </w:rPr>
        <w:t>-</w:t>
      </w:r>
      <w:r w:rsidRPr="003B4C10">
        <w:rPr>
          <w:szCs w:val="28"/>
        </w:rPr>
        <w:tab/>
        <w:t xml:space="preserve">уведомление участников закупки, подавших заявки на участие </w:t>
      </w:r>
      <w:r>
        <w:rPr>
          <w:szCs w:val="28"/>
        </w:rPr>
        <w:br/>
      </w:r>
      <w:r w:rsidRPr="003B4C10">
        <w:rPr>
          <w:szCs w:val="28"/>
        </w:rPr>
        <w:t xml:space="preserve">в Конкурсе, об отмене протоколов, о прекращении действия заявок, поданных на участие в Конкурсе, и о возможности подать новые заявки на участие </w:t>
      </w:r>
      <w:r>
        <w:rPr>
          <w:szCs w:val="28"/>
        </w:rPr>
        <w:br/>
      </w:r>
      <w:r w:rsidRPr="003B4C10">
        <w:rPr>
          <w:szCs w:val="28"/>
        </w:rPr>
        <w:t>в Конкурсе;</w:t>
      </w:r>
    </w:p>
    <w:p w:rsidR="003B4C10" w:rsidRPr="003B4C10" w:rsidRDefault="003B4C10" w:rsidP="003B4C10">
      <w:pPr>
        <w:rPr>
          <w:szCs w:val="28"/>
        </w:rPr>
      </w:pPr>
      <w:r w:rsidRPr="003B4C10">
        <w:rPr>
          <w:szCs w:val="28"/>
        </w:rPr>
        <w:lastRenderedPageBreak/>
        <w:t>-</w:t>
      </w:r>
      <w:r w:rsidRPr="003B4C10">
        <w:rPr>
          <w:szCs w:val="28"/>
        </w:rPr>
        <w:tab/>
        <w:t>прекращение блокировки операций по счетам для проведения операций по обеспечению участия в электронных процедурах, открытых участниками закупки, подавших заявки на участие в Конкурсе, в отношении денежных средств в размере обеспечения заявки на участие в Конкурсе.</w:t>
      </w:r>
    </w:p>
    <w:p w:rsidR="003B4C10" w:rsidRPr="003B4C10" w:rsidRDefault="003B4C10" w:rsidP="003B4C10">
      <w:pPr>
        <w:rPr>
          <w:szCs w:val="28"/>
        </w:rPr>
      </w:pPr>
      <w:r>
        <w:rPr>
          <w:szCs w:val="28"/>
        </w:rPr>
        <w:t>3. </w:t>
      </w:r>
      <w:r w:rsidRPr="003B4C10">
        <w:rPr>
          <w:szCs w:val="28"/>
        </w:rPr>
        <w:t>Привести Конкурсную документацию в соответствие требованиям Закона о контрактной системе с учетом</w:t>
      </w:r>
      <w:r>
        <w:rPr>
          <w:szCs w:val="28"/>
        </w:rPr>
        <w:t xml:space="preserve"> решения комиссии Главконтроля </w:t>
      </w:r>
      <w:r>
        <w:rPr>
          <w:szCs w:val="28"/>
        </w:rPr>
        <w:br/>
      </w:r>
      <w:r w:rsidRPr="003B4C10">
        <w:rPr>
          <w:szCs w:val="28"/>
        </w:rPr>
        <w:t>от 14.01.2020 по делу № 21-14-8</w:t>
      </w:r>
      <w:r>
        <w:rPr>
          <w:szCs w:val="28"/>
        </w:rPr>
        <w:t>4</w:t>
      </w:r>
      <w:r w:rsidRPr="003B4C10">
        <w:rPr>
          <w:szCs w:val="28"/>
        </w:rPr>
        <w:t xml:space="preserve">/9, а также разместить соответствующую документацию на официальном сайте единой информационной системы </w:t>
      </w:r>
      <w:r>
        <w:rPr>
          <w:szCs w:val="28"/>
        </w:rPr>
        <w:br/>
      </w:r>
      <w:r w:rsidRPr="003B4C10">
        <w:rPr>
          <w:szCs w:val="28"/>
        </w:rPr>
        <w:t>в информационно-телекоммуникационной сети «Интернет» (далее – Официальный сайт). При этом срок подачи заявок на участие в Конкурсе должен быть продлен в соответствии с требованиями части 4 статьи 54.2 Закона о контрактной системе.</w:t>
      </w:r>
    </w:p>
    <w:p w:rsidR="003B4C10" w:rsidRDefault="003B4C10" w:rsidP="003B4C10">
      <w:pPr>
        <w:rPr>
          <w:szCs w:val="28"/>
        </w:rPr>
      </w:pPr>
      <w:r>
        <w:rPr>
          <w:szCs w:val="28"/>
        </w:rPr>
        <w:t>4. </w:t>
      </w:r>
      <w:r w:rsidRPr="003B4C10">
        <w:rPr>
          <w:szCs w:val="28"/>
        </w:rPr>
        <w:t>Осуществить дальнейшее пров</w:t>
      </w:r>
      <w:r>
        <w:rPr>
          <w:szCs w:val="28"/>
        </w:rPr>
        <w:t xml:space="preserve">едение Конкурса в соответствии </w:t>
      </w:r>
      <w:r>
        <w:rPr>
          <w:szCs w:val="28"/>
        </w:rPr>
        <w:br/>
      </w:r>
      <w:r w:rsidRPr="003B4C10">
        <w:rPr>
          <w:szCs w:val="28"/>
        </w:rPr>
        <w:t xml:space="preserve">с требованиями законодательства Российской Федерации о контрактной системе в сфере закупок и с учетом решения комиссии Главконтроля </w:t>
      </w:r>
      <w:r>
        <w:rPr>
          <w:szCs w:val="28"/>
        </w:rPr>
        <w:br/>
      </w:r>
      <w:r w:rsidRPr="003B4C10">
        <w:rPr>
          <w:szCs w:val="28"/>
        </w:rPr>
        <w:t>от 14.01.2020 по делу № 21-14-8</w:t>
      </w:r>
      <w:r>
        <w:rPr>
          <w:szCs w:val="28"/>
        </w:rPr>
        <w:t>4</w:t>
      </w:r>
      <w:r w:rsidRPr="003B4C10">
        <w:rPr>
          <w:szCs w:val="28"/>
        </w:rPr>
        <w:t>/9.</w:t>
      </w:r>
    </w:p>
    <w:p w:rsidR="0077098D" w:rsidRPr="00556EBB" w:rsidRDefault="00AC0415" w:rsidP="003B4C10">
      <w:pPr>
        <w:rPr>
          <w:szCs w:val="28"/>
        </w:rPr>
      </w:pPr>
      <w:r w:rsidRPr="00556EBB">
        <w:rPr>
          <w:szCs w:val="28"/>
        </w:rPr>
        <w:t>5</w:t>
      </w:r>
      <w:r w:rsidR="0077098D" w:rsidRPr="00556EBB">
        <w:rPr>
          <w:szCs w:val="28"/>
        </w:rPr>
        <w:t xml:space="preserve">. В срок </w:t>
      </w:r>
      <w:r w:rsidR="0077098D" w:rsidRPr="00556EBB">
        <w:rPr>
          <w:b/>
          <w:szCs w:val="28"/>
        </w:rPr>
        <w:t xml:space="preserve">до </w:t>
      </w:r>
      <w:r w:rsidR="00A87540">
        <w:rPr>
          <w:b/>
          <w:szCs w:val="28"/>
        </w:rPr>
        <w:t>20</w:t>
      </w:r>
      <w:r w:rsidR="000B02D2">
        <w:rPr>
          <w:b/>
          <w:szCs w:val="28"/>
        </w:rPr>
        <w:t>.02</w:t>
      </w:r>
      <w:r w:rsidR="0077098D" w:rsidRPr="00556EBB">
        <w:rPr>
          <w:b/>
          <w:szCs w:val="28"/>
        </w:rPr>
        <w:t>.20</w:t>
      </w:r>
      <w:r w:rsidR="00A8712F">
        <w:rPr>
          <w:b/>
          <w:szCs w:val="28"/>
        </w:rPr>
        <w:t>20</w:t>
      </w:r>
      <w:r w:rsidR="0077098D" w:rsidRPr="00556EBB">
        <w:rPr>
          <w:szCs w:val="28"/>
        </w:rPr>
        <w:t xml:space="preserve"> исполнить пункты 1-</w:t>
      </w:r>
      <w:r w:rsidRPr="00556EBB">
        <w:rPr>
          <w:szCs w:val="28"/>
        </w:rPr>
        <w:t>4</w:t>
      </w:r>
      <w:r w:rsidR="0077098D" w:rsidRPr="00556EBB">
        <w:rPr>
          <w:szCs w:val="28"/>
        </w:rPr>
        <w:t xml:space="preserve"> настоящего предписания </w:t>
      </w:r>
      <w:r w:rsidR="0077098D" w:rsidRPr="00556EBB">
        <w:rPr>
          <w:szCs w:val="28"/>
        </w:rPr>
        <w:br/>
        <w:t xml:space="preserve">и не позднее пяти рабочих дней, следующих за днем фактического исполнения указанных пунктов предписания, представить в </w:t>
      </w:r>
      <w:r w:rsidR="00E567D1">
        <w:rPr>
          <w:szCs w:val="28"/>
        </w:rPr>
        <w:t>Главконтроль</w:t>
      </w:r>
      <w:r w:rsidR="0077098D" w:rsidRPr="00556EBB">
        <w:rPr>
          <w:szCs w:val="28"/>
        </w:rPr>
        <w:t xml:space="preserve"> информацию, подтверждающую соответствующее исполнение в письменном виде.</w:t>
      </w:r>
    </w:p>
    <w:p w:rsidR="0077098D" w:rsidRPr="00556EBB" w:rsidRDefault="0077098D" w:rsidP="0077098D">
      <w:pPr>
        <w:widowControl w:val="0"/>
        <w:rPr>
          <w:rFonts w:eastAsia="Times New Roman"/>
          <w:i/>
          <w:szCs w:val="28"/>
          <w:lang w:eastAsia="ru-RU"/>
        </w:rPr>
      </w:pPr>
      <w:r w:rsidRPr="00556EBB">
        <w:rPr>
          <w:rFonts w:eastAsia="Times New Roman"/>
          <w:szCs w:val="28"/>
          <w:lang w:eastAsia="ru-RU"/>
        </w:rPr>
        <w:t xml:space="preserve">В соответствии с пунктом 2 части 22 статьи 99 Закона о контрактной системе предписание об устранении выявленных нарушений законодательства Российской Федерации </w:t>
      </w:r>
      <w:r w:rsidRPr="00556EBB">
        <w:rPr>
          <w:szCs w:val="28"/>
        </w:rPr>
        <w:t xml:space="preserve">и иных нормативных правовых актов Российской Федерации </w:t>
      </w:r>
      <w:r w:rsidRPr="00556EBB">
        <w:rPr>
          <w:rFonts w:eastAsia="Times New Roman"/>
          <w:szCs w:val="28"/>
          <w:lang w:eastAsia="ru-RU"/>
        </w:rPr>
        <w:t xml:space="preserve">в сфере закупок товаров, работ, услуг для государственных </w:t>
      </w:r>
      <w:r w:rsidRPr="00556EBB">
        <w:rPr>
          <w:rFonts w:eastAsia="Times New Roman"/>
          <w:szCs w:val="28"/>
          <w:lang w:eastAsia="ru-RU"/>
        </w:rPr>
        <w:br/>
        <w:t>и муниципальных нужд обязательно для исполнения</w:t>
      </w:r>
      <w:r w:rsidRPr="00556EBB">
        <w:rPr>
          <w:rFonts w:eastAsia="Times New Roman"/>
          <w:i/>
          <w:szCs w:val="28"/>
          <w:lang w:eastAsia="ru-RU"/>
        </w:rPr>
        <w:t>.</w:t>
      </w:r>
    </w:p>
    <w:p w:rsidR="0077098D" w:rsidRPr="00556EBB" w:rsidRDefault="0077098D" w:rsidP="0077098D">
      <w:pPr>
        <w:rPr>
          <w:rFonts w:eastAsia="Times New Roman"/>
          <w:szCs w:val="28"/>
          <w:lang w:eastAsia="ru-RU"/>
        </w:rPr>
      </w:pPr>
      <w:r w:rsidRPr="00556EBB">
        <w:rPr>
          <w:rFonts w:eastAsia="Times New Roman"/>
          <w:szCs w:val="28"/>
          <w:lang w:eastAsia="ru-RU"/>
        </w:rPr>
        <w:t xml:space="preserve">Невыполнение должностными лицами заказчика в установленный срок законного предписания, требования органа, уполномоченного </w:t>
      </w:r>
      <w:r w:rsidR="00556EBB">
        <w:rPr>
          <w:rFonts w:eastAsia="Times New Roman"/>
          <w:szCs w:val="28"/>
          <w:lang w:eastAsia="ru-RU"/>
        </w:rPr>
        <w:br/>
      </w:r>
      <w:r w:rsidRPr="00556EBB">
        <w:rPr>
          <w:rFonts w:eastAsia="Times New Roman"/>
          <w:szCs w:val="28"/>
          <w:lang w:eastAsia="ru-RU"/>
        </w:rPr>
        <w:t>на осуществление контроля в сфере закупок, влечет административную ответственность в соответствии с частью 7 статьи 19.5 Кодекса Российской Федерации об административных правонарушениях.</w:t>
      </w:r>
    </w:p>
    <w:p w:rsidR="0077098D" w:rsidRPr="00556EBB" w:rsidRDefault="0077098D" w:rsidP="0077098D">
      <w:pPr>
        <w:widowControl w:val="0"/>
        <w:ind w:firstLine="0"/>
        <w:rPr>
          <w:rFonts w:eastAsia="Times New Roman"/>
          <w:szCs w:val="28"/>
          <w:lang w:eastAsia="ru-RU"/>
        </w:rPr>
      </w:pPr>
    </w:p>
    <w:p w:rsidR="0077098D" w:rsidRPr="00556EBB" w:rsidRDefault="0077098D" w:rsidP="0077098D">
      <w:pPr>
        <w:widowControl w:val="0"/>
        <w:ind w:firstLine="0"/>
        <w:rPr>
          <w:rFonts w:eastAsia="Times New Roman"/>
          <w:szCs w:val="28"/>
          <w:lang w:eastAsia="ru-RU"/>
        </w:rPr>
      </w:pPr>
    </w:p>
    <w:p w:rsidR="00BE4C31" w:rsidRPr="00A87540" w:rsidRDefault="00BE4C31" w:rsidP="00603044">
      <w:pPr>
        <w:ind w:firstLine="0"/>
        <w:rPr>
          <w:b/>
        </w:rPr>
      </w:pPr>
      <w:bookmarkStart w:id="0" w:name="_GoBack"/>
      <w:bookmarkEnd w:id="0"/>
    </w:p>
    <w:sectPr w:rsidR="00BE4C31" w:rsidRPr="00A87540" w:rsidSect="0077098D">
      <w:headerReference w:type="even" r:id="rId6"/>
      <w:headerReference w:type="default" r:id="rId7"/>
      <w:pgSz w:w="11906" w:h="16838"/>
      <w:pgMar w:top="1134" w:right="1134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BA" w:rsidRDefault="004612BA" w:rsidP="0077098D">
      <w:r>
        <w:separator/>
      </w:r>
    </w:p>
  </w:endnote>
  <w:endnote w:type="continuationSeparator" w:id="0">
    <w:p w:rsidR="004612BA" w:rsidRDefault="004612BA" w:rsidP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BA" w:rsidRDefault="004612BA" w:rsidP="0077098D">
      <w:r>
        <w:separator/>
      </w:r>
    </w:p>
  </w:footnote>
  <w:footnote w:type="continuationSeparator" w:id="0">
    <w:p w:rsidR="004612BA" w:rsidRDefault="004612BA" w:rsidP="0077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E3" w:rsidRDefault="003F5BC5" w:rsidP="00767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8E3" w:rsidRDefault="00E44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E3" w:rsidRDefault="003F5BC5" w:rsidP="00767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3AD">
      <w:rPr>
        <w:rStyle w:val="a5"/>
        <w:noProof/>
      </w:rPr>
      <w:t>2</w:t>
    </w:r>
    <w:r>
      <w:rPr>
        <w:rStyle w:val="a5"/>
      </w:rPr>
      <w:fldChar w:fldCharType="end"/>
    </w:r>
  </w:p>
  <w:p w:rsidR="007678E3" w:rsidRDefault="00E44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8D"/>
    <w:rsid w:val="000B02D2"/>
    <w:rsid w:val="000C5720"/>
    <w:rsid w:val="00163547"/>
    <w:rsid w:val="00182A49"/>
    <w:rsid w:val="001A26BF"/>
    <w:rsid w:val="00235DF1"/>
    <w:rsid w:val="002A45E0"/>
    <w:rsid w:val="00335630"/>
    <w:rsid w:val="003B4C10"/>
    <w:rsid w:val="003F4342"/>
    <w:rsid w:val="003F5BC5"/>
    <w:rsid w:val="0043651F"/>
    <w:rsid w:val="00436778"/>
    <w:rsid w:val="004612BA"/>
    <w:rsid w:val="00525D67"/>
    <w:rsid w:val="00553CD2"/>
    <w:rsid w:val="00556EBB"/>
    <w:rsid w:val="0059573B"/>
    <w:rsid w:val="005C0B7E"/>
    <w:rsid w:val="005E7B11"/>
    <w:rsid w:val="005F1EEB"/>
    <w:rsid w:val="005F4A6A"/>
    <w:rsid w:val="00603044"/>
    <w:rsid w:val="006F05B2"/>
    <w:rsid w:val="0072731E"/>
    <w:rsid w:val="0077098D"/>
    <w:rsid w:val="00807E35"/>
    <w:rsid w:val="00866804"/>
    <w:rsid w:val="008869BF"/>
    <w:rsid w:val="00964402"/>
    <w:rsid w:val="0096455A"/>
    <w:rsid w:val="009B0A21"/>
    <w:rsid w:val="00A8222A"/>
    <w:rsid w:val="00A8712F"/>
    <w:rsid w:val="00A87540"/>
    <w:rsid w:val="00AC0415"/>
    <w:rsid w:val="00BD4022"/>
    <w:rsid w:val="00BE4C31"/>
    <w:rsid w:val="00C134BB"/>
    <w:rsid w:val="00D902D2"/>
    <w:rsid w:val="00DC742B"/>
    <w:rsid w:val="00DD652F"/>
    <w:rsid w:val="00E241ED"/>
    <w:rsid w:val="00E443AD"/>
    <w:rsid w:val="00E567D1"/>
    <w:rsid w:val="00E64688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84BBF1"/>
  <w15:docId w15:val="{AD93BE18-5989-48FD-B8C4-15043DD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98D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77098D"/>
  </w:style>
  <w:style w:type="paragraph" w:styleId="a6">
    <w:name w:val="footer"/>
    <w:basedOn w:val="a"/>
    <w:link w:val="a7"/>
    <w:uiPriority w:val="99"/>
    <w:unhideWhenUsed/>
    <w:rsid w:val="00770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98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Олеся Николаевна</dc:creator>
  <cp:lastModifiedBy>Быстров Александр Александрович</cp:lastModifiedBy>
  <cp:revision>12</cp:revision>
  <cp:lastPrinted>2019-11-27T14:45:00Z</cp:lastPrinted>
  <dcterms:created xsi:type="dcterms:W3CDTF">2020-01-14T07:07:00Z</dcterms:created>
  <dcterms:modified xsi:type="dcterms:W3CDTF">2020-01-17T14:05:00Z</dcterms:modified>
</cp:coreProperties>
</file>