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Look w:val="01E0" w:firstRow="1" w:lastRow="1" w:firstColumn="1" w:lastColumn="1" w:noHBand="0" w:noVBand="0"/>
      </w:tblPr>
      <w:tblGrid>
        <w:gridCol w:w="4559"/>
        <w:gridCol w:w="5472"/>
      </w:tblGrid>
      <w:tr w:rsidR="003000B7" w:rsidTr="003000B7">
        <w:trPr>
          <w:trHeight w:val="1067"/>
        </w:trPr>
        <w:tc>
          <w:tcPr>
            <w:tcW w:w="4559" w:type="dxa"/>
          </w:tcPr>
          <w:p w:rsidR="003000B7" w:rsidRDefault="003000B7">
            <w:pPr>
              <w:spacing w:line="256" w:lineRule="auto"/>
              <w:ind w:right="-908"/>
              <w:rPr>
                <w:color w:val="000000"/>
                <w:sz w:val="28"/>
                <w:szCs w:val="28"/>
                <w:lang w:eastAsia="en-US"/>
              </w:rPr>
            </w:pPr>
          </w:p>
        </w:tc>
        <w:tc>
          <w:tcPr>
            <w:tcW w:w="5472" w:type="dxa"/>
          </w:tcPr>
          <w:p w:rsidR="003000B7" w:rsidRDefault="003000B7" w:rsidP="003000B7">
            <w:pPr>
              <w:widowControl w:val="0"/>
              <w:rPr>
                <w:sz w:val="28"/>
                <w:szCs w:val="28"/>
                <w:lang w:eastAsia="en-US"/>
              </w:rPr>
            </w:pPr>
            <w:r>
              <w:rPr>
                <w:sz w:val="28"/>
                <w:szCs w:val="28"/>
                <w:lang w:eastAsia="en-US"/>
              </w:rPr>
              <w:t>Комитет по государственному заказу Санкт-Петербурга</w:t>
            </w:r>
          </w:p>
          <w:p w:rsidR="003000B7" w:rsidRDefault="003000B7" w:rsidP="003000B7">
            <w:pPr>
              <w:widowControl w:val="0"/>
              <w:rPr>
                <w:sz w:val="28"/>
                <w:szCs w:val="28"/>
                <w:lang w:eastAsia="en-US"/>
              </w:rPr>
            </w:pPr>
            <w:r>
              <w:rPr>
                <w:sz w:val="28"/>
                <w:szCs w:val="28"/>
                <w:lang w:eastAsia="en-US"/>
              </w:rPr>
              <w:t>ул. Новгородская, д. 20, лит. А,</w:t>
            </w:r>
          </w:p>
          <w:p w:rsidR="003000B7" w:rsidRDefault="003000B7" w:rsidP="003000B7">
            <w:pPr>
              <w:rPr>
                <w:sz w:val="28"/>
                <w:szCs w:val="28"/>
                <w:lang w:eastAsia="en-US"/>
              </w:rPr>
            </w:pPr>
            <w:r>
              <w:rPr>
                <w:sz w:val="28"/>
                <w:szCs w:val="28"/>
                <w:lang w:eastAsia="en-US"/>
              </w:rPr>
              <w:t>Санкт-Петербург, 191144</w:t>
            </w:r>
          </w:p>
          <w:p w:rsidR="003000B7" w:rsidRDefault="003000B7" w:rsidP="003000B7">
            <w:pPr>
              <w:rPr>
                <w:sz w:val="28"/>
                <w:szCs w:val="28"/>
                <w:lang w:eastAsia="en-US"/>
              </w:rPr>
            </w:pPr>
          </w:p>
          <w:p w:rsidR="003000B7" w:rsidRDefault="003000B7" w:rsidP="003000B7">
            <w:pPr>
              <w:rPr>
                <w:color w:val="000000" w:themeColor="text1"/>
                <w:sz w:val="28"/>
                <w:szCs w:val="28"/>
                <w:lang w:eastAsia="en-US"/>
              </w:rPr>
            </w:pPr>
            <w:r>
              <w:rPr>
                <w:color w:val="000000" w:themeColor="text1"/>
                <w:sz w:val="28"/>
                <w:szCs w:val="28"/>
                <w:lang w:eastAsia="en-US"/>
              </w:rPr>
              <w:t xml:space="preserve">ГБДОУ детский сад № 33 </w:t>
            </w:r>
          </w:p>
          <w:p w:rsidR="003000B7" w:rsidRDefault="003000B7" w:rsidP="003000B7">
            <w:pPr>
              <w:rPr>
                <w:color w:val="000000" w:themeColor="text1"/>
                <w:sz w:val="28"/>
                <w:szCs w:val="28"/>
                <w:lang w:eastAsia="en-US"/>
              </w:rPr>
            </w:pPr>
            <w:r>
              <w:rPr>
                <w:color w:val="000000" w:themeColor="text1"/>
                <w:sz w:val="28"/>
                <w:szCs w:val="28"/>
                <w:lang w:eastAsia="en-US"/>
              </w:rPr>
              <w:t>комбинированного вида Московского</w:t>
            </w:r>
          </w:p>
          <w:p w:rsidR="003000B7" w:rsidRDefault="003000B7" w:rsidP="003000B7">
            <w:pPr>
              <w:rPr>
                <w:color w:val="000000" w:themeColor="text1"/>
                <w:sz w:val="28"/>
                <w:szCs w:val="28"/>
                <w:lang w:eastAsia="en-US"/>
              </w:rPr>
            </w:pPr>
            <w:r>
              <w:rPr>
                <w:color w:val="000000" w:themeColor="text1"/>
                <w:sz w:val="28"/>
                <w:szCs w:val="28"/>
                <w:lang w:eastAsia="en-US"/>
              </w:rPr>
              <w:t xml:space="preserve">района Санкт-Петербурга                                  </w:t>
            </w:r>
          </w:p>
          <w:p w:rsidR="003000B7" w:rsidRDefault="003000B7" w:rsidP="003000B7">
            <w:pPr>
              <w:rPr>
                <w:sz w:val="28"/>
                <w:szCs w:val="28"/>
                <w:lang w:eastAsia="en-US"/>
              </w:rPr>
            </w:pPr>
            <w:r>
              <w:rPr>
                <w:sz w:val="28"/>
                <w:szCs w:val="28"/>
                <w:lang w:eastAsia="en-US"/>
              </w:rPr>
              <w:t>Космонавтов пр., д. 50, к. 2, лит. А,</w:t>
            </w:r>
          </w:p>
          <w:p w:rsidR="003000B7" w:rsidRDefault="003000B7" w:rsidP="003000B7">
            <w:pPr>
              <w:rPr>
                <w:sz w:val="28"/>
                <w:szCs w:val="28"/>
                <w:lang w:eastAsia="en-US"/>
              </w:rPr>
            </w:pPr>
            <w:r>
              <w:rPr>
                <w:sz w:val="28"/>
                <w:szCs w:val="28"/>
                <w:lang w:eastAsia="en-US"/>
              </w:rPr>
              <w:t>Санкт-Петербург, 196233</w:t>
            </w:r>
          </w:p>
          <w:p w:rsidR="003000B7" w:rsidRDefault="003000B7" w:rsidP="003000B7">
            <w:pPr>
              <w:rPr>
                <w:sz w:val="28"/>
                <w:szCs w:val="28"/>
                <w:lang w:eastAsia="en-US"/>
              </w:rPr>
            </w:pPr>
          </w:p>
          <w:p w:rsidR="003000B7" w:rsidRDefault="003000B7" w:rsidP="003000B7">
            <w:pPr>
              <w:rPr>
                <w:sz w:val="28"/>
                <w:szCs w:val="28"/>
                <w:lang w:eastAsia="en-US"/>
              </w:rPr>
            </w:pPr>
            <w:r>
              <w:rPr>
                <w:sz w:val="28"/>
                <w:szCs w:val="28"/>
                <w:lang w:eastAsia="en-US"/>
              </w:rPr>
              <w:t>ООО «РТС-тендер»</w:t>
            </w:r>
          </w:p>
          <w:p w:rsidR="003000B7" w:rsidRDefault="003000B7" w:rsidP="003000B7">
            <w:pPr>
              <w:rPr>
                <w:sz w:val="28"/>
                <w:szCs w:val="28"/>
                <w:lang w:eastAsia="en-US"/>
              </w:rPr>
            </w:pPr>
            <w:r>
              <w:rPr>
                <w:sz w:val="28"/>
                <w:szCs w:val="28"/>
                <w:lang w:eastAsia="en-US"/>
              </w:rPr>
              <w:t>наб. Тараса Шевченко, д. 23А,</w:t>
            </w:r>
          </w:p>
          <w:p w:rsidR="003000B7" w:rsidRDefault="003000B7" w:rsidP="003000B7">
            <w:pPr>
              <w:rPr>
                <w:sz w:val="28"/>
                <w:szCs w:val="28"/>
                <w:lang w:eastAsia="en-US"/>
              </w:rPr>
            </w:pPr>
            <w:r>
              <w:rPr>
                <w:sz w:val="28"/>
                <w:szCs w:val="28"/>
                <w:lang w:eastAsia="en-US"/>
              </w:rPr>
              <w:t>Москва, 121151</w:t>
            </w:r>
          </w:p>
          <w:p w:rsidR="003000B7" w:rsidRDefault="003000B7" w:rsidP="003000B7">
            <w:pPr>
              <w:rPr>
                <w:color w:val="000000"/>
                <w:sz w:val="28"/>
                <w:szCs w:val="28"/>
                <w:lang w:eastAsia="en-US"/>
              </w:rPr>
            </w:pPr>
          </w:p>
          <w:p w:rsidR="003000B7" w:rsidRDefault="003000B7" w:rsidP="003000B7">
            <w:pPr>
              <w:widowControl w:val="0"/>
              <w:rPr>
                <w:sz w:val="28"/>
                <w:szCs w:val="28"/>
                <w:lang w:eastAsia="en-US"/>
              </w:rPr>
            </w:pPr>
            <w:bookmarkStart w:id="0" w:name="_Hlk23366611"/>
            <w:r>
              <w:rPr>
                <w:sz w:val="28"/>
                <w:szCs w:val="28"/>
                <w:lang w:eastAsia="en-US"/>
              </w:rPr>
              <w:t>ООО «МАКСИМУС»</w:t>
            </w:r>
            <w:bookmarkEnd w:id="0"/>
          </w:p>
          <w:p w:rsidR="003000B7" w:rsidRDefault="003000B7" w:rsidP="003000B7">
            <w:pPr>
              <w:widowControl w:val="0"/>
              <w:rPr>
                <w:sz w:val="28"/>
                <w:szCs w:val="28"/>
                <w:lang w:eastAsia="en-US"/>
              </w:rPr>
            </w:pPr>
            <w:r>
              <w:rPr>
                <w:sz w:val="28"/>
                <w:szCs w:val="28"/>
                <w:lang w:eastAsia="en-US"/>
              </w:rPr>
              <w:t>ул. Софийская, д. 60, пом. 28/3?</w:t>
            </w:r>
          </w:p>
          <w:p w:rsidR="003000B7" w:rsidRDefault="003000B7" w:rsidP="003000B7">
            <w:pPr>
              <w:rPr>
                <w:color w:val="000000"/>
                <w:sz w:val="28"/>
                <w:szCs w:val="28"/>
                <w:lang w:eastAsia="en-US"/>
              </w:rPr>
            </w:pPr>
            <w:r>
              <w:rPr>
                <w:sz w:val="28"/>
                <w:szCs w:val="28"/>
                <w:lang w:eastAsia="en-US"/>
              </w:rPr>
              <w:t>Санкт-Петербург, 192241</w:t>
            </w:r>
          </w:p>
          <w:p w:rsidR="003000B7" w:rsidRDefault="003000B7">
            <w:pPr>
              <w:spacing w:line="256" w:lineRule="auto"/>
              <w:rPr>
                <w:color w:val="000000"/>
                <w:sz w:val="28"/>
                <w:szCs w:val="28"/>
                <w:lang w:eastAsia="en-US"/>
              </w:rPr>
            </w:pPr>
          </w:p>
        </w:tc>
      </w:tr>
    </w:tbl>
    <w:p w:rsidR="003000B7" w:rsidRDefault="003000B7" w:rsidP="003000B7">
      <w:pPr>
        <w:jc w:val="center"/>
        <w:outlineLvl w:val="0"/>
        <w:rPr>
          <w:color w:val="000000"/>
          <w:sz w:val="28"/>
          <w:szCs w:val="28"/>
        </w:rPr>
      </w:pPr>
    </w:p>
    <w:p w:rsidR="003000B7" w:rsidRDefault="003000B7" w:rsidP="003000B7">
      <w:pPr>
        <w:jc w:val="center"/>
        <w:outlineLvl w:val="0"/>
        <w:rPr>
          <w:color w:val="000000"/>
          <w:sz w:val="28"/>
          <w:szCs w:val="28"/>
        </w:rPr>
      </w:pPr>
    </w:p>
    <w:p w:rsidR="003000B7" w:rsidRDefault="003000B7" w:rsidP="003000B7">
      <w:pPr>
        <w:jc w:val="center"/>
        <w:outlineLvl w:val="0"/>
        <w:rPr>
          <w:color w:val="000000"/>
          <w:sz w:val="28"/>
          <w:szCs w:val="28"/>
        </w:rPr>
      </w:pPr>
    </w:p>
    <w:p w:rsidR="003000B7" w:rsidRDefault="003000B7" w:rsidP="003000B7">
      <w:pPr>
        <w:jc w:val="center"/>
        <w:outlineLvl w:val="0"/>
        <w:rPr>
          <w:color w:val="000000"/>
          <w:sz w:val="28"/>
          <w:szCs w:val="28"/>
        </w:rPr>
      </w:pPr>
      <w:r>
        <w:rPr>
          <w:color w:val="000000"/>
          <w:sz w:val="28"/>
          <w:szCs w:val="28"/>
        </w:rPr>
        <w:t>РЕШЕНИЕ</w:t>
      </w:r>
    </w:p>
    <w:p w:rsidR="003000B7" w:rsidRDefault="003000B7" w:rsidP="003000B7">
      <w:pPr>
        <w:jc w:val="center"/>
        <w:rPr>
          <w:color w:val="000000"/>
          <w:sz w:val="28"/>
          <w:szCs w:val="28"/>
        </w:rPr>
      </w:pPr>
      <w:r>
        <w:rPr>
          <w:color w:val="000000"/>
          <w:sz w:val="28"/>
          <w:szCs w:val="28"/>
        </w:rPr>
        <w:t xml:space="preserve">по делу </w:t>
      </w:r>
      <w:r>
        <w:rPr>
          <w:b/>
          <w:color w:val="000000"/>
          <w:sz w:val="28"/>
          <w:szCs w:val="28"/>
        </w:rPr>
        <w:t>№ 44-260/20</w:t>
      </w:r>
      <w:r>
        <w:rPr>
          <w:color w:val="000000"/>
          <w:sz w:val="28"/>
          <w:szCs w:val="28"/>
        </w:rPr>
        <w:t xml:space="preserve"> </w:t>
      </w:r>
      <w:r>
        <w:rPr>
          <w:color w:val="000000"/>
          <w:sz w:val="28"/>
          <w:szCs w:val="28"/>
        </w:rPr>
        <w:br/>
        <w:t>о нарушении законодательства о контрактной системе</w:t>
      </w:r>
    </w:p>
    <w:p w:rsidR="003000B7" w:rsidRDefault="003000B7" w:rsidP="003000B7">
      <w:pPr>
        <w:ind w:firstLine="540"/>
        <w:jc w:val="center"/>
        <w:rPr>
          <w:color w:val="000000"/>
          <w:sz w:val="28"/>
          <w:szCs w:val="28"/>
        </w:rPr>
      </w:pPr>
    </w:p>
    <w:p w:rsidR="003000B7" w:rsidRDefault="003000B7" w:rsidP="003000B7">
      <w:pPr>
        <w:tabs>
          <w:tab w:val="left" w:pos="0"/>
        </w:tabs>
        <w:jc w:val="both"/>
        <w:rPr>
          <w:color w:val="000000"/>
          <w:sz w:val="28"/>
          <w:szCs w:val="28"/>
        </w:rPr>
      </w:pPr>
      <w:r>
        <w:rPr>
          <w:color w:val="000000"/>
          <w:sz w:val="28"/>
          <w:szCs w:val="28"/>
        </w:rPr>
        <w:t>14.01.2020                                                                                        Санкт-Петербург</w:t>
      </w:r>
    </w:p>
    <w:p w:rsidR="003000B7" w:rsidRDefault="003000B7" w:rsidP="003000B7">
      <w:pPr>
        <w:tabs>
          <w:tab w:val="left" w:pos="0"/>
        </w:tabs>
        <w:ind w:left="540"/>
        <w:jc w:val="both"/>
        <w:rPr>
          <w:color w:val="000000"/>
          <w:sz w:val="28"/>
          <w:szCs w:val="28"/>
        </w:rPr>
      </w:pPr>
    </w:p>
    <w:p w:rsidR="003000B7" w:rsidRDefault="003000B7" w:rsidP="003000B7">
      <w:pPr>
        <w:tabs>
          <w:tab w:val="left" w:pos="0"/>
        </w:tabs>
        <w:ind w:firstLine="709"/>
        <w:jc w:val="both"/>
        <w:rPr>
          <w:color w:val="000000"/>
          <w:sz w:val="28"/>
          <w:szCs w:val="28"/>
        </w:rPr>
      </w:pPr>
      <w:r>
        <w:rPr>
          <w:color w:val="000000"/>
          <w:sz w:val="28"/>
          <w:szCs w:val="28"/>
        </w:rPr>
        <w:t>Комиссия Санкт-Петербургского УФАС России по контролю закупок (далее – Комиссия УФАС) в составе:</w:t>
      </w:r>
    </w:p>
    <w:p w:rsidR="0019487D" w:rsidRDefault="0019487D" w:rsidP="003000B7">
      <w:pPr>
        <w:tabs>
          <w:tab w:val="left" w:pos="0"/>
        </w:tabs>
        <w:ind w:firstLine="709"/>
        <w:jc w:val="both"/>
        <w:rPr>
          <w:sz w:val="28"/>
          <w:szCs w:val="28"/>
        </w:rPr>
      </w:pPr>
    </w:p>
    <w:p w:rsidR="003000B7" w:rsidRDefault="003000B7" w:rsidP="003000B7">
      <w:pPr>
        <w:tabs>
          <w:tab w:val="left" w:pos="0"/>
        </w:tabs>
        <w:ind w:firstLine="709"/>
        <w:jc w:val="both"/>
        <w:rPr>
          <w:color w:val="000000"/>
          <w:sz w:val="28"/>
          <w:szCs w:val="28"/>
        </w:rPr>
      </w:pPr>
      <w:r>
        <w:rPr>
          <w:color w:val="000000"/>
          <w:sz w:val="28"/>
          <w:szCs w:val="28"/>
        </w:rPr>
        <w:t xml:space="preserve">в присутствии представителей: </w:t>
      </w:r>
    </w:p>
    <w:p w:rsidR="0019487D" w:rsidRDefault="003000B7" w:rsidP="003000B7">
      <w:pPr>
        <w:tabs>
          <w:tab w:val="left" w:pos="0"/>
        </w:tabs>
        <w:ind w:firstLine="709"/>
        <w:jc w:val="both"/>
        <w:rPr>
          <w:color w:val="000000"/>
          <w:sz w:val="28"/>
          <w:szCs w:val="28"/>
        </w:rPr>
      </w:pPr>
      <w:r>
        <w:rPr>
          <w:color w:val="000000"/>
          <w:sz w:val="28"/>
          <w:szCs w:val="28"/>
        </w:rPr>
        <w:t xml:space="preserve">Комитета по государственному заказу Санкт-Петербурга (далее – Уполномоченный орган): </w:t>
      </w:r>
    </w:p>
    <w:p w:rsidR="0019487D" w:rsidRDefault="003000B7" w:rsidP="003000B7">
      <w:pPr>
        <w:tabs>
          <w:tab w:val="left" w:pos="0"/>
        </w:tabs>
        <w:ind w:firstLine="709"/>
        <w:jc w:val="both"/>
        <w:rPr>
          <w:color w:val="000000"/>
          <w:sz w:val="28"/>
          <w:szCs w:val="28"/>
        </w:rPr>
      </w:pPr>
      <w:r>
        <w:rPr>
          <w:color w:val="000000"/>
          <w:sz w:val="28"/>
          <w:szCs w:val="28"/>
        </w:rPr>
        <w:t xml:space="preserve">ООО «МАКСИМУС» (далее – Заявитель): </w:t>
      </w:r>
    </w:p>
    <w:p w:rsidR="003000B7" w:rsidRDefault="003000B7" w:rsidP="003000B7">
      <w:pPr>
        <w:tabs>
          <w:tab w:val="left" w:pos="0"/>
        </w:tabs>
        <w:ind w:firstLine="709"/>
        <w:jc w:val="both"/>
        <w:rPr>
          <w:color w:val="000000"/>
          <w:sz w:val="28"/>
          <w:szCs w:val="28"/>
        </w:rPr>
      </w:pPr>
      <w:r>
        <w:rPr>
          <w:color w:val="000000"/>
          <w:sz w:val="28"/>
          <w:szCs w:val="28"/>
        </w:rPr>
        <w:t>в отсутствие представителей ГБДОУ детский сад № 33 комбинированного вида Санкт-Петербург (далее – Заказчик), надлежащим образом уведомленных о месте и времени заседания Комиссии УФАС,</w:t>
      </w:r>
    </w:p>
    <w:p w:rsidR="003000B7" w:rsidRDefault="003000B7" w:rsidP="003000B7">
      <w:pPr>
        <w:tabs>
          <w:tab w:val="left" w:pos="0"/>
        </w:tabs>
        <w:ind w:firstLine="709"/>
        <w:jc w:val="both"/>
        <w:rPr>
          <w:color w:val="000000"/>
          <w:sz w:val="28"/>
          <w:szCs w:val="28"/>
        </w:rPr>
      </w:pPr>
      <w:r>
        <w:rPr>
          <w:color w:val="000000"/>
          <w:sz w:val="28"/>
          <w:szCs w:val="28"/>
        </w:rPr>
        <w:t>рассмотрев жалобу Заявителя (</w:t>
      </w:r>
      <w:proofErr w:type="spellStart"/>
      <w:r>
        <w:rPr>
          <w:color w:val="000000"/>
          <w:sz w:val="28"/>
          <w:szCs w:val="28"/>
        </w:rPr>
        <w:t>вх</w:t>
      </w:r>
      <w:proofErr w:type="spellEnd"/>
      <w:r>
        <w:rPr>
          <w:color w:val="000000"/>
          <w:sz w:val="28"/>
          <w:szCs w:val="28"/>
        </w:rPr>
        <w:t xml:space="preserve">. № 40373/19 от 30.12.2019) </w:t>
      </w:r>
      <w:r>
        <w:rPr>
          <w:color w:val="000000"/>
          <w:sz w:val="28"/>
          <w:szCs w:val="28"/>
        </w:rPr>
        <w:br/>
        <w:t xml:space="preserve">на действия конкурсной комиссии Уполномоченного органа, Заказчика </w:t>
      </w:r>
      <w:r>
        <w:rPr>
          <w:color w:val="000000"/>
          <w:sz w:val="28"/>
          <w:szCs w:val="28"/>
        </w:rPr>
        <w:br/>
        <w:t xml:space="preserve">при определении поставщика путем проведения конкурса с ограниченным участием в электронной форме на поставку овощей, фруктов и бакалеи </w:t>
      </w:r>
      <w:r>
        <w:rPr>
          <w:color w:val="000000"/>
          <w:sz w:val="28"/>
          <w:szCs w:val="28"/>
        </w:rPr>
        <w:lastRenderedPageBreak/>
        <w:t xml:space="preserve">(поставка, хранение, перевозка до пункта назначения, погрузо-разгрузочные работы, очистка и санитарная обработка транспортных средств) </w:t>
      </w:r>
      <w:r>
        <w:rPr>
          <w:color w:val="000000"/>
          <w:sz w:val="28"/>
          <w:szCs w:val="28"/>
        </w:rPr>
        <w:br/>
        <w:t>в государственные бюджетные образовательные учреждения Московского района Санкт-Петербурга в 2020 году. (далее – конкурс), а также в результате проведения внеплановой проверки на основании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специализированной организации, конкурсной, аукционной или котировочной комиссии, оператора электронной площадки при размещении заказа на поставки товаров, выполнение работ, оказание услуг, в том числе при размещении заказов на энергосервис, для государственных, муниципальных нужд, нужд бюджетных учреждений, утвержденного приказом ФАС России от 19.11.2014 № 727/14 (далее – Административный регламент),</w:t>
      </w:r>
    </w:p>
    <w:p w:rsidR="003000B7" w:rsidRDefault="003000B7" w:rsidP="003000B7">
      <w:pPr>
        <w:tabs>
          <w:tab w:val="left" w:pos="0"/>
          <w:tab w:val="left" w:pos="2700"/>
        </w:tabs>
        <w:jc w:val="center"/>
        <w:outlineLvl w:val="0"/>
        <w:rPr>
          <w:color w:val="000000"/>
          <w:sz w:val="28"/>
          <w:szCs w:val="28"/>
        </w:rPr>
      </w:pPr>
    </w:p>
    <w:p w:rsidR="003000B7" w:rsidRDefault="003000B7" w:rsidP="003000B7">
      <w:pPr>
        <w:tabs>
          <w:tab w:val="left" w:pos="0"/>
          <w:tab w:val="left" w:pos="2700"/>
        </w:tabs>
        <w:jc w:val="center"/>
        <w:outlineLvl w:val="0"/>
        <w:rPr>
          <w:color w:val="000000"/>
          <w:sz w:val="28"/>
          <w:szCs w:val="28"/>
        </w:rPr>
      </w:pPr>
      <w:r>
        <w:rPr>
          <w:color w:val="000000"/>
          <w:sz w:val="28"/>
          <w:szCs w:val="28"/>
        </w:rPr>
        <w:t>УСТАНОВИЛА:</w:t>
      </w:r>
    </w:p>
    <w:p w:rsidR="003000B7" w:rsidRDefault="003000B7" w:rsidP="003000B7">
      <w:pPr>
        <w:tabs>
          <w:tab w:val="left" w:pos="0"/>
          <w:tab w:val="left" w:pos="2700"/>
        </w:tabs>
        <w:jc w:val="center"/>
        <w:outlineLvl w:val="0"/>
        <w:rPr>
          <w:color w:val="000000"/>
          <w:sz w:val="28"/>
          <w:szCs w:val="28"/>
        </w:rPr>
      </w:pPr>
    </w:p>
    <w:p w:rsidR="003000B7" w:rsidRDefault="003000B7" w:rsidP="003000B7">
      <w:pPr>
        <w:tabs>
          <w:tab w:val="left" w:pos="0"/>
        </w:tabs>
        <w:ind w:firstLine="709"/>
        <w:jc w:val="both"/>
        <w:rPr>
          <w:color w:val="000000"/>
          <w:sz w:val="28"/>
          <w:szCs w:val="28"/>
        </w:rPr>
      </w:pPr>
      <w:r>
        <w:rPr>
          <w:color w:val="000000"/>
          <w:sz w:val="28"/>
          <w:szCs w:val="28"/>
        </w:rPr>
        <w:t>Извещение о проведении конкурса размещено 29.12.2019</w:t>
      </w:r>
      <w:r>
        <w:rPr>
          <w:color w:val="000000"/>
          <w:sz w:val="28"/>
          <w:szCs w:val="28"/>
        </w:rPr>
        <w:br/>
        <w:t xml:space="preserve">на официальном сайте </w:t>
      </w:r>
      <w:hyperlink r:id="rId6" w:history="1">
        <w:r>
          <w:rPr>
            <w:rStyle w:val="a3"/>
            <w:color w:val="000000"/>
            <w:sz w:val="28"/>
            <w:szCs w:val="28"/>
            <w:u w:val="none"/>
          </w:rPr>
          <w:t>www.</w:t>
        </w:r>
        <w:r>
          <w:rPr>
            <w:rStyle w:val="a3"/>
            <w:color w:val="000000"/>
            <w:sz w:val="28"/>
            <w:szCs w:val="28"/>
            <w:u w:val="none"/>
            <w:lang w:val="en-US"/>
          </w:rPr>
          <w:t>zakupki</w:t>
        </w:r>
        <w:r>
          <w:rPr>
            <w:rStyle w:val="a3"/>
            <w:color w:val="000000"/>
            <w:sz w:val="28"/>
            <w:szCs w:val="28"/>
            <w:u w:val="none"/>
          </w:rPr>
          <w:t>.</w:t>
        </w:r>
        <w:r>
          <w:rPr>
            <w:rStyle w:val="a3"/>
            <w:color w:val="000000"/>
            <w:sz w:val="28"/>
            <w:szCs w:val="28"/>
            <w:u w:val="none"/>
            <w:lang w:val="en-US"/>
          </w:rPr>
          <w:t>gov</w:t>
        </w:r>
        <w:r>
          <w:rPr>
            <w:rStyle w:val="a3"/>
            <w:color w:val="000000"/>
            <w:sz w:val="28"/>
            <w:szCs w:val="28"/>
            <w:u w:val="none"/>
          </w:rPr>
          <w:t>.</w:t>
        </w:r>
        <w:proofErr w:type="spellStart"/>
        <w:r>
          <w:rPr>
            <w:rStyle w:val="a3"/>
            <w:color w:val="000000"/>
            <w:sz w:val="28"/>
            <w:szCs w:val="28"/>
            <w:u w:val="none"/>
          </w:rPr>
          <w:t>ru</w:t>
        </w:r>
        <w:proofErr w:type="spellEnd"/>
      </w:hyperlink>
      <w:r>
        <w:rPr>
          <w:color w:val="000000"/>
          <w:sz w:val="28"/>
          <w:szCs w:val="28"/>
        </w:rPr>
        <w:t xml:space="preserve">, номер извещения 0172200002519000262. Начальная (максимальная) цена контракта – </w:t>
      </w:r>
      <w:r>
        <w:rPr>
          <w:color w:val="000000"/>
          <w:sz w:val="28"/>
          <w:szCs w:val="28"/>
        </w:rPr>
        <w:br/>
        <w:t>102 421 247, 86 рублей.</w:t>
      </w:r>
    </w:p>
    <w:p w:rsidR="003000B7" w:rsidRDefault="003000B7" w:rsidP="003000B7">
      <w:pPr>
        <w:tabs>
          <w:tab w:val="left" w:pos="0"/>
          <w:tab w:val="left" w:pos="568"/>
        </w:tabs>
        <w:ind w:firstLine="709"/>
        <w:jc w:val="both"/>
        <w:rPr>
          <w:color w:val="000000"/>
          <w:sz w:val="28"/>
          <w:szCs w:val="28"/>
        </w:rPr>
      </w:pPr>
      <w:r>
        <w:rPr>
          <w:color w:val="000000"/>
          <w:sz w:val="28"/>
          <w:szCs w:val="28"/>
        </w:rPr>
        <w:t>В жалобе ООО «МАКСИМУС» указывает на неправомерные действия конкурсной комиссии, выразившиеся, по мнению Заявителя, в нарушении установленного в конкурсной документации порядка оценки заявок на участие в конкурсе.</w:t>
      </w:r>
    </w:p>
    <w:p w:rsidR="003000B7" w:rsidRDefault="003000B7" w:rsidP="003000B7">
      <w:pPr>
        <w:tabs>
          <w:tab w:val="left" w:pos="0"/>
          <w:tab w:val="left" w:pos="568"/>
        </w:tabs>
        <w:ind w:firstLine="709"/>
        <w:jc w:val="both"/>
        <w:rPr>
          <w:color w:val="000000"/>
          <w:sz w:val="28"/>
          <w:szCs w:val="28"/>
        </w:rPr>
      </w:pPr>
      <w:r>
        <w:rPr>
          <w:color w:val="000000"/>
          <w:sz w:val="28"/>
          <w:szCs w:val="28"/>
        </w:rPr>
        <w:t>Уполномоченный орган с доводами жалобы не согласен и считает их необоснованными.</w:t>
      </w:r>
    </w:p>
    <w:p w:rsidR="003000B7" w:rsidRDefault="003000B7" w:rsidP="003000B7">
      <w:pPr>
        <w:tabs>
          <w:tab w:val="left" w:pos="0"/>
          <w:tab w:val="left" w:pos="568"/>
        </w:tabs>
        <w:ind w:firstLine="709"/>
        <w:jc w:val="both"/>
        <w:rPr>
          <w:color w:val="000000"/>
          <w:sz w:val="28"/>
          <w:szCs w:val="28"/>
        </w:rPr>
      </w:pPr>
      <w:r>
        <w:rPr>
          <w:color w:val="000000"/>
          <w:sz w:val="28"/>
          <w:szCs w:val="28"/>
        </w:rPr>
        <w:t>Комиссия УФАС, ознакомившись с представленными документами и сведениями, заслушав пояснения представителей сторон, приходит к следующим выводам.</w:t>
      </w:r>
    </w:p>
    <w:p w:rsidR="003000B7" w:rsidRDefault="003000B7" w:rsidP="003000B7">
      <w:pPr>
        <w:tabs>
          <w:tab w:val="left" w:pos="0"/>
          <w:tab w:val="left" w:pos="568"/>
        </w:tabs>
        <w:ind w:firstLine="709"/>
        <w:jc w:val="both"/>
        <w:rPr>
          <w:color w:val="000000"/>
          <w:sz w:val="28"/>
          <w:szCs w:val="28"/>
        </w:rPr>
      </w:pPr>
      <w:r>
        <w:rPr>
          <w:color w:val="000000"/>
          <w:sz w:val="28"/>
          <w:szCs w:val="28"/>
        </w:rPr>
        <w:t xml:space="preserve">Согласно ч. 6 ст. 54.7 Закона о контрактной системе, конкурсная комиссия осуществляет оценку вторых частей заявок на участие в открытом конкурсе в электронной форме, в отношении которых принято решение </w:t>
      </w:r>
      <w:r>
        <w:rPr>
          <w:color w:val="000000"/>
          <w:sz w:val="28"/>
          <w:szCs w:val="28"/>
        </w:rPr>
        <w:br/>
        <w:t xml:space="preserve">о соответствии требованиям, установленным конкурсной документацией, </w:t>
      </w:r>
      <w:r>
        <w:rPr>
          <w:color w:val="000000"/>
          <w:sz w:val="28"/>
          <w:szCs w:val="28"/>
        </w:rPr>
        <w:br/>
        <w:t xml:space="preserve">для выявления победителя такого конкурса на основе критериев, указанных </w:t>
      </w:r>
      <w:r>
        <w:rPr>
          <w:color w:val="000000"/>
          <w:sz w:val="28"/>
          <w:szCs w:val="28"/>
        </w:rPr>
        <w:br/>
        <w:t xml:space="preserve">в конкурсной документации и относящихся ко второй части заявки </w:t>
      </w:r>
      <w:r>
        <w:rPr>
          <w:color w:val="000000"/>
          <w:sz w:val="28"/>
          <w:szCs w:val="28"/>
        </w:rPr>
        <w:br/>
        <w:t xml:space="preserve">(при установлении этих критериев в конкурсной документации). Оценка указанных заявок не осуществляется в случае признания открытого конкурса </w:t>
      </w:r>
      <w:r>
        <w:rPr>
          <w:color w:val="000000"/>
          <w:sz w:val="28"/>
          <w:szCs w:val="28"/>
        </w:rPr>
        <w:lastRenderedPageBreak/>
        <w:t>в электронной форме не состоявшимся в соответствии с частью 9 настоящей статьи.</w:t>
      </w:r>
    </w:p>
    <w:p w:rsidR="003000B7" w:rsidRDefault="003000B7" w:rsidP="003000B7">
      <w:pPr>
        <w:tabs>
          <w:tab w:val="left" w:pos="0"/>
        </w:tabs>
        <w:ind w:firstLine="709"/>
        <w:jc w:val="both"/>
        <w:rPr>
          <w:color w:val="000000"/>
          <w:sz w:val="28"/>
          <w:szCs w:val="28"/>
        </w:rPr>
      </w:pPr>
      <w:r>
        <w:rPr>
          <w:color w:val="000000"/>
          <w:sz w:val="28"/>
          <w:szCs w:val="28"/>
        </w:rPr>
        <w:t>В силу ч. 7 ст. 54.7 Закона о контрактной системе,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3000B7" w:rsidRDefault="003000B7" w:rsidP="003000B7">
      <w:pPr>
        <w:tabs>
          <w:tab w:val="left" w:pos="0"/>
        </w:tabs>
        <w:ind w:firstLine="709"/>
        <w:jc w:val="both"/>
        <w:rPr>
          <w:color w:val="000000"/>
          <w:sz w:val="28"/>
          <w:szCs w:val="28"/>
        </w:rPr>
      </w:pPr>
      <w:r>
        <w:rPr>
          <w:color w:val="000000"/>
          <w:sz w:val="28"/>
          <w:szCs w:val="28"/>
        </w:rPr>
        <w:t>1) о месте, дате, времени рассмотрения и оценки вторых частей заявок на участие в открытом конкурсе в электронной форме;</w:t>
      </w:r>
    </w:p>
    <w:p w:rsidR="003000B7" w:rsidRDefault="003000B7" w:rsidP="003000B7">
      <w:pPr>
        <w:tabs>
          <w:tab w:val="left" w:pos="0"/>
        </w:tabs>
        <w:ind w:firstLine="709"/>
        <w:jc w:val="both"/>
        <w:rPr>
          <w:color w:val="000000"/>
          <w:sz w:val="28"/>
          <w:szCs w:val="28"/>
        </w:rPr>
      </w:pPr>
      <w:r>
        <w:rPr>
          <w:color w:val="000000"/>
          <w:sz w:val="28"/>
          <w:szCs w:val="28"/>
        </w:rPr>
        <w:t>2) об участниках открытого конкурса в электронной форме, заявки которых на участие в открытом конкурсе в электронной форме были рассмотрены;</w:t>
      </w:r>
    </w:p>
    <w:p w:rsidR="003000B7" w:rsidRDefault="003000B7" w:rsidP="003000B7">
      <w:pPr>
        <w:tabs>
          <w:tab w:val="left" w:pos="0"/>
        </w:tabs>
        <w:ind w:firstLine="709"/>
        <w:jc w:val="both"/>
        <w:rPr>
          <w:color w:val="000000"/>
          <w:sz w:val="28"/>
          <w:szCs w:val="28"/>
        </w:rPr>
      </w:pPr>
      <w:r>
        <w:rPr>
          <w:color w:val="000000"/>
          <w:sz w:val="28"/>
          <w:szCs w:val="28"/>
        </w:rP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3000B7" w:rsidRDefault="003000B7" w:rsidP="003000B7">
      <w:pPr>
        <w:tabs>
          <w:tab w:val="left" w:pos="0"/>
        </w:tabs>
        <w:ind w:firstLine="709"/>
        <w:jc w:val="both"/>
        <w:rPr>
          <w:color w:val="000000"/>
          <w:sz w:val="28"/>
          <w:szCs w:val="28"/>
        </w:rPr>
      </w:pPr>
      <w:r>
        <w:rPr>
          <w:color w:val="000000"/>
          <w:sz w:val="28"/>
          <w:szCs w:val="28"/>
        </w:rP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3000B7" w:rsidRDefault="003000B7" w:rsidP="003000B7">
      <w:pPr>
        <w:tabs>
          <w:tab w:val="left" w:pos="0"/>
        </w:tabs>
        <w:ind w:firstLine="709"/>
        <w:jc w:val="both"/>
        <w:rPr>
          <w:color w:val="000000"/>
          <w:sz w:val="28"/>
          <w:szCs w:val="28"/>
        </w:rPr>
      </w:pPr>
      <w:r>
        <w:rPr>
          <w:color w:val="000000"/>
          <w:sz w:val="28"/>
          <w:szCs w:val="28"/>
        </w:rPr>
        <w:t>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пункте 3 части 1 статьи 32 настоящего Федерального закона.</w:t>
      </w:r>
    </w:p>
    <w:p w:rsidR="003000B7" w:rsidRDefault="003000B7" w:rsidP="003000B7">
      <w:pPr>
        <w:tabs>
          <w:tab w:val="left" w:pos="0"/>
        </w:tabs>
        <w:ind w:firstLine="709"/>
        <w:jc w:val="both"/>
        <w:rPr>
          <w:color w:val="000000"/>
          <w:sz w:val="28"/>
          <w:szCs w:val="28"/>
        </w:rPr>
      </w:pPr>
      <w:r>
        <w:rPr>
          <w:color w:val="000000"/>
          <w:sz w:val="28"/>
          <w:szCs w:val="28"/>
        </w:rPr>
        <w:t>В силу ч. 8 ст. 54.7 Закона о контрактной системе, указанный в части 7 указанной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части 7 настоящей статьи, оператор электронной площадки размещает в единой информационной системе и на электронной площадке протоколы, указанные в части 6 статьи 54.5 настоящего Федерального закона и части 7 настоящей статьи.</w:t>
      </w:r>
    </w:p>
    <w:p w:rsidR="003000B7" w:rsidRDefault="003000B7" w:rsidP="003000B7">
      <w:pPr>
        <w:tabs>
          <w:tab w:val="left" w:pos="0"/>
        </w:tabs>
        <w:ind w:firstLine="709"/>
        <w:jc w:val="both"/>
        <w:rPr>
          <w:color w:val="000000"/>
          <w:sz w:val="28"/>
          <w:szCs w:val="28"/>
        </w:rPr>
      </w:pPr>
      <w:r>
        <w:rPr>
          <w:color w:val="000000"/>
          <w:sz w:val="28"/>
          <w:szCs w:val="28"/>
        </w:rPr>
        <w:t xml:space="preserve">В соответствии с протоколом рассмотрения и оценки вторых частей заявок на участие в конкурсе с ограниченным участием в электронной форме от 27.12.2019 №ПРОII1, конкурсная комиссия рассмотрела и оценила вторые </w:t>
      </w:r>
      <w:r>
        <w:rPr>
          <w:color w:val="000000"/>
          <w:sz w:val="28"/>
          <w:szCs w:val="28"/>
        </w:rPr>
        <w:lastRenderedPageBreak/>
        <w:t>части заявок на участие в конкурсе с ограниченным участием в электронной форме в порядке, установленном ст. 54.7 и ст. 56.1 Закона №44-ФЗ, на соответствие требованиям, установленным законодательством РФ о контрактной системе, конкурсной документацией, и приняла решение в отношении предложения заявителя по критерию квалификация участника конкурса:</w:t>
      </w:r>
    </w:p>
    <w:p w:rsidR="003000B7" w:rsidRDefault="003000B7" w:rsidP="003000B7">
      <w:pPr>
        <w:tabs>
          <w:tab w:val="left" w:pos="0"/>
        </w:tabs>
        <w:ind w:firstLine="709"/>
        <w:jc w:val="both"/>
        <w:rPr>
          <w:color w:val="000000"/>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98"/>
        <w:gridCol w:w="1114"/>
        <w:gridCol w:w="1073"/>
        <w:gridCol w:w="550"/>
        <w:gridCol w:w="551"/>
        <w:gridCol w:w="551"/>
        <w:gridCol w:w="652"/>
        <w:gridCol w:w="551"/>
        <w:gridCol w:w="607"/>
        <w:gridCol w:w="647"/>
        <w:gridCol w:w="551"/>
      </w:tblGrid>
      <w:tr w:rsidR="003000B7" w:rsidTr="003000B7">
        <w:trPr>
          <w:cantSplit/>
          <w:trHeight w:hRule="exact" w:val="333"/>
          <w:jc w:val="center"/>
        </w:trPr>
        <w:tc>
          <w:tcPr>
            <w:tcW w:w="133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000B7" w:rsidRDefault="003000B7">
            <w:pPr>
              <w:spacing w:line="256" w:lineRule="auto"/>
              <w:jc w:val="center"/>
              <w:outlineLvl w:val="2"/>
              <w:rPr>
                <w:b/>
                <w:lang w:eastAsia="en-US"/>
              </w:rPr>
            </w:pPr>
            <w:r>
              <w:rPr>
                <w:b/>
                <w:lang w:eastAsia="en-US"/>
              </w:rPr>
              <w:t>Критерий</w:t>
            </w:r>
          </w:p>
        </w:tc>
        <w:tc>
          <w:tcPr>
            <w:tcW w:w="1170"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000B7" w:rsidRDefault="003000B7">
            <w:pPr>
              <w:spacing w:line="256" w:lineRule="auto"/>
              <w:jc w:val="center"/>
              <w:outlineLvl w:val="2"/>
              <w:rPr>
                <w:b/>
                <w:lang w:eastAsia="en-US"/>
              </w:rPr>
            </w:pPr>
            <w:r>
              <w:rPr>
                <w:b/>
                <w:lang w:eastAsia="en-US"/>
              </w:rPr>
              <w:t>Итого:</w:t>
            </w:r>
          </w:p>
        </w:tc>
        <w:tc>
          <w:tcPr>
            <w:tcW w:w="589"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000B7" w:rsidRDefault="003000B7">
            <w:pPr>
              <w:spacing w:line="256" w:lineRule="auto"/>
              <w:jc w:val="center"/>
              <w:outlineLvl w:val="2"/>
              <w:rPr>
                <w:b/>
                <w:sz w:val="20"/>
                <w:szCs w:val="20"/>
                <w:lang w:eastAsia="en-US"/>
              </w:rPr>
            </w:pPr>
            <w:proofErr w:type="spellStart"/>
            <w:r>
              <w:rPr>
                <w:rFonts w:eastAsia="Calibri"/>
                <w:b/>
                <w:sz w:val="20"/>
                <w:szCs w:val="20"/>
                <w:shd w:val="clear" w:color="auto" w:fill="FFFFFF"/>
                <w:lang w:eastAsia="en-US"/>
              </w:rPr>
              <w:t>Эпельман</w:t>
            </w:r>
            <w:proofErr w:type="spellEnd"/>
            <w:r>
              <w:rPr>
                <w:rFonts w:eastAsia="Calibri"/>
                <w:b/>
                <w:sz w:val="20"/>
                <w:szCs w:val="20"/>
                <w:shd w:val="clear" w:color="auto" w:fill="FFFFFF"/>
                <w:lang w:eastAsia="en-US"/>
              </w:rPr>
              <w:t xml:space="preserve"> </w:t>
            </w:r>
            <w:r>
              <w:rPr>
                <w:rFonts w:eastAsia="Calibri"/>
                <w:b/>
                <w:sz w:val="20"/>
                <w:szCs w:val="20"/>
                <w:shd w:val="clear" w:color="auto" w:fill="FFFFFF"/>
                <w:lang w:eastAsia="en-US"/>
              </w:rPr>
              <w:br/>
              <w:t xml:space="preserve">Борис </w:t>
            </w:r>
            <w:r>
              <w:rPr>
                <w:rFonts w:eastAsia="Calibri"/>
                <w:b/>
                <w:sz w:val="20"/>
                <w:szCs w:val="20"/>
                <w:shd w:val="clear" w:color="auto" w:fill="FFFFFF"/>
                <w:lang w:eastAsia="en-US"/>
              </w:rPr>
              <w:br/>
              <w:t>Витальевич</w:t>
            </w:r>
          </w:p>
        </w:tc>
        <w:tc>
          <w:tcPr>
            <w:tcW w:w="644"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000B7" w:rsidRDefault="003000B7">
            <w:pPr>
              <w:spacing w:line="256" w:lineRule="auto"/>
              <w:jc w:val="center"/>
              <w:outlineLvl w:val="2"/>
              <w:rPr>
                <w:b/>
                <w:sz w:val="20"/>
                <w:szCs w:val="20"/>
                <w:lang w:eastAsia="en-US"/>
              </w:rPr>
            </w:pPr>
            <w:r>
              <w:rPr>
                <w:b/>
                <w:sz w:val="20"/>
                <w:szCs w:val="20"/>
                <w:lang w:eastAsia="en-US"/>
              </w:rPr>
              <w:t>Литвинова</w:t>
            </w:r>
            <w:r>
              <w:rPr>
                <w:b/>
                <w:sz w:val="20"/>
                <w:szCs w:val="20"/>
                <w:lang w:eastAsia="en-US"/>
              </w:rPr>
              <w:br/>
              <w:t>Наталия Анатольевна</w:t>
            </w:r>
          </w:p>
        </w:tc>
        <w:tc>
          <w:tcPr>
            <w:tcW w:w="620"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000B7" w:rsidRDefault="003000B7">
            <w:pPr>
              <w:spacing w:line="256" w:lineRule="auto"/>
              <w:jc w:val="center"/>
              <w:outlineLvl w:val="2"/>
              <w:rPr>
                <w:rFonts w:eastAsia="Calibri"/>
                <w:sz w:val="20"/>
                <w:szCs w:val="20"/>
                <w:shd w:val="clear" w:color="auto" w:fill="FFFFFF"/>
                <w:lang w:eastAsia="en-US"/>
              </w:rPr>
            </w:pPr>
            <w:r>
              <w:rPr>
                <w:rFonts w:eastAsia="Calibri"/>
                <w:b/>
                <w:sz w:val="20"/>
                <w:szCs w:val="20"/>
                <w:shd w:val="clear" w:color="auto" w:fill="FFFFFF"/>
                <w:lang w:eastAsia="en-US"/>
              </w:rPr>
              <w:t>Богомолов</w:t>
            </w:r>
            <w:r>
              <w:rPr>
                <w:rFonts w:eastAsia="Calibri"/>
                <w:b/>
                <w:sz w:val="20"/>
                <w:szCs w:val="20"/>
                <w:shd w:val="clear" w:color="auto" w:fill="FFFFFF"/>
                <w:lang w:eastAsia="en-US"/>
              </w:rPr>
              <w:br/>
              <w:t>Иван Леонидович</w:t>
            </w:r>
          </w:p>
        </w:tc>
        <w:tc>
          <w:tcPr>
            <w:tcW w:w="641"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000B7" w:rsidRDefault="003000B7">
            <w:pPr>
              <w:spacing w:line="256" w:lineRule="auto"/>
              <w:jc w:val="center"/>
              <w:outlineLvl w:val="2"/>
              <w:rPr>
                <w:rFonts w:eastAsia="Calibri"/>
                <w:sz w:val="20"/>
                <w:szCs w:val="20"/>
                <w:shd w:val="clear" w:color="auto" w:fill="FFFFFF"/>
                <w:lang w:eastAsia="en-US"/>
              </w:rPr>
            </w:pPr>
            <w:proofErr w:type="spellStart"/>
            <w:r>
              <w:rPr>
                <w:rFonts w:eastAsia="Calibri"/>
                <w:b/>
                <w:sz w:val="20"/>
                <w:szCs w:val="20"/>
                <w:shd w:val="clear" w:color="auto" w:fill="FFFFFF"/>
                <w:lang w:eastAsia="en-US"/>
              </w:rPr>
              <w:t>Губичева</w:t>
            </w:r>
            <w:proofErr w:type="spellEnd"/>
            <w:r>
              <w:rPr>
                <w:rFonts w:eastAsia="Calibri"/>
                <w:b/>
                <w:sz w:val="20"/>
                <w:szCs w:val="20"/>
                <w:shd w:val="clear" w:color="auto" w:fill="FFFFFF"/>
                <w:lang w:eastAsia="en-US"/>
              </w:rPr>
              <w:br/>
              <w:t>Татьяна</w:t>
            </w:r>
            <w:r>
              <w:rPr>
                <w:rFonts w:eastAsia="Calibri"/>
                <w:b/>
                <w:sz w:val="20"/>
                <w:szCs w:val="20"/>
                <w:shd w:val="clear" w:color="auto" w:fill="FFFFFF"/>
                <w:lang w:eastAsia="en-US"/>
              </w:rPr>
              <w:br/>
              <w:t>Анатольевна</w:t>
            </w:r>
          </w:p>
        </w:tc>
      </w:tr>
      <w:tr w:rsidR="003000B7" w:rsidTr="003000B7">
        <w:trPr>
          <w:cantSplit/>
          <w:trHeight w:hRule="exact" w:val="9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00B7" w:rsidRDefault="003000B7">
            <w:pPr>
              <w:spacing w:line="256" w:lineRule="auto"/>
              <w:rPr>
                <w:b/>
                <w:lang w:eastAsia="en-US"/>
              </w:rPr>
            </w:pPr>
          </w:p>
        </w:tc>
        <w:tc>
          <w:tcPr>
            <w:tcW w:w="596" w:type="pct"/>
            <w:tcBorders>
              <w:top w:val="single" w:sz="4" w:space="0" w:color="auto"/>
              <w:left w:val="single" w:sz="4" w:space="0" w:color="auto"/>
              <w:bottom w:val="single" w:sz="4" w:space="0" w:color="auto"/>
              <w:right w:val="single" w:sz="4" w:space="0" w:color="auto"/>
            </w:tcBorders>
            <w:shd w:val="clear" w:color="auto" w:fill="FFFFFF"/>
            <w:hideMark/>
          </w:tcPr>
          <w:p w:rsidR="003000B7" w:rsidRDefault="003000B7">
            <w:pPr>
              <w:widowControl w:val="0"/>
              <w:spacing w:line="256" w:lineRule="auto"/>
              <w:ind w:left="40"/>
              <w:jc w:val="center"/>
              <w:outlineLvl w:val="0"/>
              <w:rPr>
                <w:rFonts w:eastAsia="Calibri"/>
                <w:b/>
                <w:bCs/>
                <w:sz w:val="20"/>
                <w:szCs w:val="20"/>
                <w:shd w:val="clear" w:color="auto" w:fill="FFFFFF"/>
                <w:lang w:eastAsia="en-US"/>
              </w:rPr>
            </w:pPr>
            <w:r>
              <w:rPr>
                <w:rFonts w:eastAsia="Calibri"/>
                <w:b/>
                <w:bCs/>
                <w:sz w:val="20"/>
                <w:szCs w:val="20"/>
                <w:shd w:val="clear" w:color="auto" w:fill="FFFFFF"/>
                <w:lang w:eastAsia="en-US"/>
              </w:rPr>
              <w:t>оценка</w:t>
            </w:r>
          </w:p>
          <w:p w:rsidR="003000B7" w:rsidRDefault="003000B7">
            <w:pPr>
              <w:widowControl w:val="0"/>
              <w:shd w:val="clear" w:color="auto" w:fill="FFFFFF"/>
              <w:spacing w:line="256" w:lineRule="auto"/>
              <w:ind w:left="40"/>
              <w:jc w:val="center"/>
              <w:outlineLvl w:val="0"/>
              <w:rPr>
                <w:rFonts w:eastAsia="Calibri"/>
                <w:b/>
                <w:bCs/>
                <w:sz w:val="20"/>
                <w:szCs w:val="20"/>
                <w:shd w:val="clear" w:color="auto" w:fill="FFFFFF"/>
                <w:lang w:eastAsia="en-US"/>
              </w:rPr>
            </w:pPr>
            <w:r>
              <w:rPr>
                <w:rFonts w:eastAsia="Calibri"/>
                <w:b/>
                <w:bCs/>
                <w:sz w:val="20"/>
                <w:szCs w:val="20"/>
                <w:shd w:val="clear" w:color="auto" w:fill="FFFFFF"/>
                <w:lang w:eastAsia="en-US"/>
              </w:rPr>
              <w:t>с учетом значимости критерия</w:t>
            </w:r>
          </w:p>
        </w:tc>
        <w:tc>
          <w:tcPr>
            <w:tcW w:w="574" w:type="pct"/>
            <w:tcBorders>
              <w:top w:val="single" w:sz="4" w:space="0" w:color="auto"/>
              <w:left w:val="single" w:sz="4" w:space="0" w:color="auto"/>
              <w:bottom w:val="single" w:sz="4" w:space="0" w:color="auto"/>
              <w:right w:val="single" w:sz="4" w:space="0" w:color="auto"/>
            </w:tcBorders>
            <w:shd w:val="clear" w:color="auto" w:fill="FFFFFF"/>
            <w:hideMark/>
          </w:tcPr>
          <w:p w:rsidR="003000B7" w:rsidRDefault="003000B7">
            <w:pPr>
              <w:widowControl w:val="0"/>
              <w:spacing w:line="256" w:lineRule="auto"/>
              <w:ind w:left="40"/>
              <w:jc w:val="center"/>
              <w:outlineLvl w:val="0"/>
              <w:rPr>
                <w:rFonts w:eastAsia="Calibri"/>
                <w:b/>
                <w:bCs/>
                <w:sz w:val="20"/>
                <w:szCs w:val="20"/>
                <w:shd w:val="clear" w:color="auto" w:fill="FFFFFF"/>
                <w:lang w:eastAsia="en-US"/>
              </w:rPr>
            </w:pPr>
            <w:r>
              <w:rPr>
                <w:rFonts w:eastAsia="Calibri"/>
                <w:b/>
                <w:bCs/>
                <w:sz w:val="20"/>
                <w:szCs w:val="20"/>
                <w:shd w:val="clear" w:color="auto" w:fill="FFFFFF"/>
                <w:lang w:eastAsia="en-US"/>
              </w:rPr>
              <w:t>оценка</w:t>
            </w:r>
          </w:p>
          <w:p w:rsidR="003000B7" w:rsidRDefault="003000B7">
            <w:pPr>
              <w:spacing w:line="256" w:lineRule="auto"/>
              <w:jc w:val="center"/>
              <w:rPr>
                <w:b/>
                <w:shd w:val="clear" w:color="auto" w:fill="FFFFFF"/>
                <w:lang w:eastAsia="en-US"/>
              </w:rPr>
            </w:pPr>
            <w:r>
              <w:rPr>
                <w:rFonts w:eastAsia="Calibri"/>
                <w:b/>
                <w:sz w:val="20"/>
                <w:szCs w:val="20"/>
                <w:shd w:val="clear" w:color="auto" w:fill="FFFFFF"/>
                <w:lang w:eastAsia="en-US"/>
              </w:rPr>
              <w:t>без учета значимости критерия</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000B7" w:rsidRDefault="003000B7">
            <w:pPr>
              <w:spacing w:line="256" w:lineRule="auto"/>
              <w:rPr>
                <w:b/>
                <w:sz w:val="20"/>
                <w:szCs w:val="20"/>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000B7" w:rsidRDefault="003000B7">
            <w:pPr>
              <w:spacing w:line="256" w:lineRule="auto"/>
              <w:rPr>
                <w:b/>
                <w:sz w:val="20"/>
                <w:szCs w:val="20"/>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000B7" w:rsidRDefault="003000B7">
            <w:pPr>
              <w:spacing w:line="256" w:lineRule="auto"/>
              <w:rPr>
                <w:rFonts w:eastAsia="Calibri"/>
                <w:sz w:val="20"/>
                <w:szCs w:val="20"/>
                <w:shd w:val="clear" w:color="auto" w:fill="FFFFFF"/>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000B7" w:rsidRDefault="003000B7">
            <w:pPr>
              <w:spacing w:line="256" w:lineRule="auto"/>
              <w:rPr>
                <w:rFonts w:eastAsia="Calibri"/>
                <w:sz w:val="20"/>
                <w:szCs w:val="20"/>
                <w:shd w:val="clear" w:color="auto" w:fill="FFFFFF"/>
                <w:lang w:eastAsia="en-US"/>
              </w:rPr>
            </w:pPr>
          </w:p>
        </w:tc>
      </w:tr>
      <w:tr w:rsidR="003000B7" w:rsidTr="003000B7">
        <w:trPr>
          <w:cantSplit/>
          <w:trHeight w:hRule="exact" w:val="843"/>
          <w:jc w:val="center"/>
        </w:trPr>
        <w:tc>
          <w:tcPr>
            <w:tcW w:w="13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000B7" w:rsidRDefault="003000B7">
            <w:pPr>
              <w:widowControl w:val="0"/>
              <w:spacing w:line="256" w:lineRule="auto"/>
              <w:ind w:hanging="5"/>
              <w:jc w:val="center"/>
              <w:outlineLvl w:val="0"/>
              <w:rPr>
                <w:rFonts w:eastAsia="Calibri"/>
                <w:b/>
                <w:bCs/>
                <w:shd w:val="clear" w:color="auto" w:fill="FFFFFF"/>
                <w:lang w:eastAsia="en-US"/>
              </w:rPr>
            </w:pPr>
            <w:r>
              <w:rPr>
                <w:b/>
                <w:bCs/>
                <w:lang w:eastAsia="en-US"/>
              </w:rPr>
              <w:t>Квалификация участника конкурса</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000B7" w:rsidRDefault="003000B7">
            <w:pPr>
              <w:spacing w:line="254" w:lineRule="auto"/>
              <w:jc w:val="center"/>
              <w:rPr>
                <w:rFonts w:ascii="Calibri" w:eastAsia="Calibri" w:hAnsi="Calibri"/>
                <w:b/>
                <w:sz w:val="22"/>
                <w:szCs w:val="22"/>
                <w:lang w:eastAsia="en-US"/>
              </w:rPr>
            </w:pPr>
            <w:r>
              <w:rPr>
                <w:rFonts w:eastAsia="Calibri"/>
                <w:b/>
                <w:lang w:eastAsia="en-US"/>
              </w:rPr>
              <w:t>21,00</w:t>
            </w: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000B7" w:rsidRDefault="003000B7">
            <w:pPr>
              <w:spacing w:line="254" w:lineRule="auto"/>
              <w:jc w:val="center"/>
              <w:rPr>
                <w:rFonts w:eastAsia="Calibri"/>
                <w:b/>
                <w:lang w:eastAsia="en-US"/>
              </w:rPr>
            </w:pPr>
            <w:r>
              <w:rPr>
                <w:rFonts w:eastAsia="Calibri"/>
                <w:b/>
                <w:lang w:eastAsia="en-US"/>
              </w:rPr>
              <w:t>70,00</w:t>
            </w:r>
          </w:p>
        </w:tc>
        <w:tc>
          <w:tcPr>
            <w:tcW w:w="2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000B7" w:rsidRDefault="003000B7">
            <w:pPr>
              <w:spacing w:line="254" w:lineRule="auto"/>
              <w:jc w:val="center"/>
              <w:rPr>
                <w:rFonts w:eastAsia="Calibri"/>
                <w:b/>
                <w:lang w:eastAsia="en-US"/>
              </w:rPr>
            </w:pPr>
            <w:r>
              <w:rPr>
                <w:rFonts w:eastAsia="Calibri"/>
                <w:b/>
                <w:lang w:eastAsia="en-US"/>
              </w:rPr>
              <w:t>21,00</w:t>
            </w:r>
          </w:p>
        </w:tc>
        <w:tc>
          <w:tcPr>
            <w:tcW w:w="2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000B7" w:rsidRDefault="003000B7">
            <w:pPr>
              <w:spacing w:line="254" w:lineRule="auto"/>
              <w:jc w:val="center"/>
              <w:rPr>
                <w:rFonts w:eastAsia="Calibri"/>
                <w:b/>
                <w:lang w:eastAsia="en-US"/>
              </w:rPr>
            </w:pPr>
            <w:r>
              <w:rPr>
                <w:rFonts w:eastAsia="Calibri"/>
                <w:b/>
                <w:lang w:eastAsia="en-US"/>
              </w:rPr>
              <w:t>70,00</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000B7" w:rsidRDefault="003000B7">
            <w:pPr>
              <w:spacing w:line="254" w:lineRule="auto"/>
              <w:jc w:val="center"/>
              <w:rPr>
                <w:rFonts w:eastAsia="Calibri"/>
                <w:b/>
                <w:lang w:eastAsia="en-US"/>
              </w:rPr>
            </w:pPr>
            <w:r>
              <w:rPr>
                <w:rFonts w:eastAsia="Calibri"/>
                <w:b/>
                <w:lang w:eastAsia="en-US"/>
              </w:rPr>
              <w:t>21,00</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000B7" w:rsidRDefault="003000B7">
            <w:pPr>
              <w:spacing w:line="254" w:lineRule="auto"/>
              <w:jc w:val="center"/>
              <w:rPr>
                <w:rFonts w:eastAsia="Calibri"/>
                <w:b/>
                <w:lang w:eastAsia="en-US"/>
              </w:rPr>
            </w:pPr>
            <w:r>
              <w:rPr>
                <w:rFonts w:eastAsia="Calibri"/>
                <w:b/>
                <w:lang w:eastAsia="en-US"/>
              </w:rPr>
              <w:t>70,00</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000B7" w:rsidRDefault="003000B7">
            <w:pPr>
              <w:spacing w:line="254" w:lineRule="auto"/>
              <w:jc w:val="center"/>
              <w:rPr>
                <w:rFonts w:eastAsia="Calibri"/>
                <w:b/>
                <w:lang w:eastAsia="en-US"/>
              </w:rPr>
            </w:pPr>
            <w:r>
              <w:rPr>
                <w:rFonts w:eastAsia="Calibri"/>
                <w:b/>
                <w:lang w:eastAsia="en-US"/>
              </w:rPr>
              <w:t>21,00</w:t>
            </w:r>
          </w:p>
        </w:tc>
        <w:tc>
          <w:tcPr>
            <w:tcW w:w="3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000B7" w:rsidRDefault="003000B7">
            <w:pPr>
              <w:spacing w:line="254" w:lineRule="auto"/>
              <w:jc w:val="center"/>
              <w:rPr>
                <w:rFonts w:eastAsia="Calibri"/>
                <w:b/>
                <w:lang w:eastAsia="en-US"/>
              </w:rPr>
            </w:pPr>
            <w:r>
              <w:rPr>
                <w:rFonts w:eastAsia="Calibri"/>
                <w:b/>
                <w:lang w:eastAsia="en-US"/>
              </w:rPr>
              <w:t>70,00</w:t>
            </w:r>
          </w:p>
        </w:tc>
        <w:tc>
          <w:tcPr>
            <w:tcW w:w="3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000B7" w:rsidRDefault="003000B7">
            <w:pPr>
              <w:spacing w:line="254" w:lineRule="auto"/>
              <w:jc w:val="center"/>
              <w:rPr>
                <w:rFonts w:eastAsia="Calibri"/>
                <w:b/>
                <w:lang w:eastAsia="en-US"/>
              </w:rPr>
            </w:pPr>
            <w:r>
              <w:rPr>
                <w:rFonts w:eastAsia="Calibri"/>
                <w:b/>
                <w:lang w:eastAsia="en-US"/>
              </w:rPr>
              <w:t>21,00</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000B7" w:rsidRDefault="003000B7">
            <w:pPr>
              <w:spacing w:line="254" w:lineRule="auto"/>
              <w:jc w:val="center"/>
              <w:rPr>
                <w:rFonts w:eastAsia="Calibri"/>
                <w:b/>
                <w:lang w:eastAsia="en-US"/>
              </w:rPr>
            </w:pPr>
            <w:r>
              <w:rPr>
                <w:rFonts w:eastAsia="Calibri"/>
                <w:b/>
                <w:lang w:eastAsia="en-US"/>
              </w:rPr>
              <w:t>70,00</w:t>
            </w:r>
          </w:p>
        </w:tc>
      </w:tr>
      <w:tr w:rsidR="003000B7" w:rsidTr="003000B7">
        <w:trPr>
          <w:cantSplit/>
          <w:trHeight w:hRule="exact" w:val="838"/>
          <w:jc w:val="center"/>
        </w:trPr>
        <w:tc>
          <w:tcPr>
            <w:tcW w:w="1337" w:type="pct"/>
            <w:tcBorders>
              <w:top w:val="single" w:sz="6" w:space="0" w:color="auto"/>
              <w:left w:val="single" w:sz="6" w:space="0" w:color="auto"/>
              <w:bottom w:val="single" w:sz="6" w:space="0" w:color="auto"/>
              <w:right w:val="single" w:sz="6" w:space="0" w:color="auto"/>
            </w:tcBorders>
            <w:vAlign w:val="center"/>
            <w:hideMark/>
          </w:tcPr>
          <w:p w:rsidR="003000B7" w:rsidRDefault="003000B7">
            <w:pPr>
              <w:widowControl w:val="0"/>
              <w:autoSpaceDE w:val="0"/>
              <w:autoSpaceDN w:val="0"/>
              <w:adjustRightInd w:val="0"/>
              <w:spacing w:line="254" w:lineRule="auto"/>
              <w:jc w:val="center"/>
              <w:rPr>
                <w:lang w:eastAsia="en-US"/>
              </w:rPr>
            </w:pPr>
            <w:r>
              <w:rPr>
                <w:lang w:eastAsia="en-US"/>
              </w:rPr>
              <w:t>Деловая репутация участника конкурса</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000B7" w:rsidRDefault="003000B7">
            <w:pPr>
              <w:spacing w:line="254" w:lineRule="auto"/>
              <w:jc w:val="center"/>
              <w:rPr>
                <w:rFonts w:eastAsia="Calibri"/>
                <w:b/>
                <w:lang w:eastAsia="en-US"/>
              </w:rPr>
            </w:pPr>
            <w:r>
              <w:rPr>
                <w:rFonts w:eastAsia="Calibri"/>
                <w:b/>
                <w:lang w:eastAsia="en-US"/>
              </w:rPr>
              <w:t>21,00</w:t>
            </w: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000B7" w:rsidRDefault="003000B7">
            <w:pPr>
              <w:spacing w:line="254" w:lineRule="auto"/>
              <w:jc w:val="center"/>
              <w:rPr>
                <w:rFonts w:eastAsia="Calibri"/>
                <w:b/>
                <w:lang w:eastAsia="en-US"/>
              </w:rPr>
            </w:pPr>
            <w:r>
              <w:rPr>
                <w:rFonts w:eastAsia="Calibri"/>
                <w:b/>
                <w:lang w:eastAsia="en-US"/>
              </w:rPr>
              <w:t>70,00</w:t>
            </w:r>
          </w:p>
        </w:tc>
        <w:tc>
          <w:tcPr>
            <w:tcW w:w="2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000B7" w:rsidRDefault="003000B7">
            <w:pPr>
              <w:spacing w:line="254" w:lineRule="auto"/>
              <w:jc w:val="center"/>
              <w:rPr>
                <w:rFonts w:eastAsia="Calibri"/>
                <w:lang w:eastAsia="en-US"/>
              </w:rPr>
            </w:pPr>
            <w:r>
              <w:rPr>
                <w:rFonts w:eastAsia="Calibri"/>
                <w:lang w:eastAsia="en-US"/>
              </w:rPr>
              <w:t>21,00</w:t>
            </w:r>
          </w:p>
        </w:tc>
        <w:tc>
          <w:tcPr>
            <w:tcW w:w="2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000B7" w:rsidRDefault="003000B7">
            <w:pPr>
              <w:spacing w:line="254" w:lineRule="auto"/>
              <w:jc w:val="center"/>
              <w:rPr>
                <w:rFonts w:eastAsia="Calibri"/>
                <w:lang w:eastAsia="en-US"/>
              </w:rPr>
            </w:pPr>
            <w:r>
              <w:rPr>
                <w:rFonts w:eastAsia="Calibri"/>
                <w:lang w:eastAsia="en-US"/>
              </w:rPr>
              <w:t>70,00</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000B7" w:rsidRDefault="003000B7">
            <w:pPr>
              <w:spacing w:line="254" w:lineRule="auto"/>
              <w:jc w:val="center"/>
              <w:rPr>
                <w:rFonts w:eastAsia="Calibri"/>
                <w:lang w:eastAsia="en-US"/>
              </w:rPr>
            </w:pPr>
            <w:r>
              <w:rPr>
                <w:rFonts w:eastAsia="Calibri"/>
                <w:lang w:eastAsia="en-US"/>
              </w:rPr>
              <w:t>21,00</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000B7" w:rsidRDefault="003000B7">
            <w:pPr>
              <w:spacing w:line="254" w:lineRule="auto"/>
              <w:jc w:val="center"/>
              <w:rPr>
                <w:rFonts w:eastAsia="Calibri"/>
                <w:lang w:eastAsia="en-US"/>
              </w:rPr>
            </w:pPr>
            <w:r>
              <w:rPr>
                <w:rFonts w:eastAsia="Calibri"/>
                <w:lang w:eastAsia="en-US"/>
              </w:rPr>
              <w:t>70,00</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000B7" w:rsidRDefault="003000B7">
            <w:pPr>
              <w:spacing w:line="254" w:lineRule="auto"/>
              <w:jc w:val="center"/>
              <w:rPr>
                <w:rFonts w:eastAsia="Calibri"/>
                <w:lang w:eastAsia="en-US"/>
              </w:rPr>
            </w:pPr>
            <w:r>
              <w:rPr>
                <w:rFonts w:eastAsia="Calibri"/>
                <w:lang w:eastAsia="en-US"/>
              </w:rPr>
              <w:t>21,00</w:t>
            </w:r>
          </w:p>
        </w:tc>
        <w:tc>
          <w:tcPr>
            <w:tcW w:w="3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000B7" w:rsidRDefault="003000B7">
            <w:pPr>
              <w:spacing w:line="254" w:lineRule="auto"/>
              <w:jc w:val="center"/>
              <w:rPr>
                <w:rFonts w:eastAsia="Calibri"/>
                <w:lang w:eastAsia="en-US"/>
              </w:rPr>
            </w:pPr>
            <w:r>
              <w:rPr>
                <w:rFonts w:eastAsia="Calibri"/>
                <w:lang w:eastAsia="en-US"/>
              </w:rPr>
              <w:t>70,00</w:t>
            </w:r>
          </w:p>
        </w:tc>
        <w:tc>
          <w:tcPr>
            <w:tcW w:w="3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000B7" w:rsidRDefault="003000B7">
            <w:pPr>
              <w:spacing w:line="254" w:lineRule="auto"/>
              <w:jc w:val="center"/>
              <w:rPr>
                <w:rFonts w:eastAsia="Calibri"/>
                <w:lang w:eastAsia="en-US"/>
              </w:rPr>
            </w:pPr>
            <w:r>
              <w:rPr>
                <w:rFonts w:eastAsia="Calibri"/>
                <w:lang w:eastAsia="en-US"/>
              </w:rPr>
              <w:t>21,00</w:t>
            </w: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000B7" w:rsidRDefault="003000B7">
            <w:pPr>
              <w:spacing w:line="254" w:lineRule="auto"/>
              <w:jc w:val="center"/>
              <w:rPr>
                <w:rFonts w:eastAsia="Calibri"/>
                <w:lang w:eastAsia="en-US"/>
              </w:rPr>
            </w:pPr>
            <w:r>
              <w:rPr>
                <w:rFonts w:eastAsia="Calibri"/>
                <w:lang w:eastAsia="en-US"/>
              </w:rPr>
              <w:t>70,00</w:t>
            </w:r>
          </w:p>
        </w:tc>
      </w:tr>
      <w:tr w:rsidR="003000B7" w:rsidTr="003000B7">
        <w:trPr>
          <w:gridAfter w:val="8"/>
          <w:wAfter w:w="2493" w:type="pct"/>
          <w:cantSplit/>
          <w:trHeight w:hRule="exact" w:val="678"/>
          <w:jc w:val="center"/>
        </w:trPr>
        <w:tc>
          <w:tcPr>
            <w:tcW w:w="13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000B7" w:rsidRDefault="003000B7">
            <w:pPr>
              <w:spacing w:after="160" w:line="254" w:lineRule="auto"/>
              <w:jc w:val="center"/>
              <w:rPr>
                <w:b/>
                <w:lang w:eastAsia="en-US"/>
              </w:rPr>
            </w:pPr>
            <w:r>
              <w:rPr>
                <w:rFonts w:eastAsia="Calibri"/>
                <w:b/>
                <w:shd w:val="clear" w:color="auto" w:fill="FFFFFF"/>
                <w:lang w:eastAsia="en-US"/>
              </w:rPr>
              <w:t>Суммарное количество баллов</w:t>
            </w:r>
            <w:r>
              <w:rPr>
                <w:rFonts w:eastAsia="Calibri"/>
                <w:b/>
                <w:shd w:val="clear" w:color="auto" w:fill="FFFFFF"/>
                <w:lang w:eastAsia="en-US"/>
              </w:rPr>
              <w:br/>
              <w:t>с учетом значимости критерия:</w:t>
            </w:r>
          </w:p>
        </w:tc>
        <w:tc>
          <w:tcPr>
            <w:tcW w:w="1170"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000B7" w:rsidRDefault="003000B7">
            <w:pPr>
              <w:widowControl w:val="0"/>
              <w:spacing w:line="256" w:lineRule="auto"/>
              <w:jc w:val="center"/>
              <w:outlineLvl w:val="0"/>
              <w:rPr>
                <w:rFonts w:eastAsia="Calibri"/>
                <w:b/>
                <w:bCs/>
                <w:lang w:eastAsia="en-US"/>
              </w:rPr>
            </w:pPr>
            <w:r>
              <w:rPr>
                <w:rFonts w:eastAsia="Calibri"/>
                <w:b/>
                <w:bCs/>
                <w:lang w:eastAsia="en-US"/>
              </w:rPr>
              <w:t>6,8</w:t>
            </w:r>
          </w:p>
        </w:tc>
      </w:tr>
    </w:tbl>
    <w:p w:rsidR="003000B7" w:rsidRDefault="003000B7" w:rsidP="003000B7">
      <w:pPr>
        <w:tabs>
          <w:tab w:val="left" w:pos="0"/>
        </w:tabs>
        <w:ind w:firstLine="709"/>
        <w:jc w:val="both"/>
        <w:rPr>
          <w:color w:val="000000"/>
          <w:sz w:val="28"/>
          <w:szCs w:val="28"/>
        </w:rPr>
      </w:pPr>
    </w:p>
    <w:p w:rsidR="003000B7" w:rsidRDefault="003000B7" w:rsidP="003000B7">
      <w:pPr>
        <w:tabs>
          <w:tab w:val="left" w:pos="0"/>
        </w:tabs>
        <w:ind w:firstLine="709"/>
        <w:jc w:val="both"/>
        <w:rPr>
          <w:color w:val="000000"/>
          <w:sz w:val="28"/>
          <w:szCs w:val="28"/>
        </w:rPr>
      </w:pPr>
      <w:r>
        <w:rPr>
          <w:color w:val="000000"/>
          <w:sz w:val="28"/>
          <w:szCs w:val="28"/>
        </w:rPr>
        <w:t xml:space="preserve">Для оценки заявок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w:t>
      </w:r>
      <w:r>
        <w:rPr>
          <w:color w:val="000000"/>
          <w:sz w:val="28"/>
          <w:szCs w:val="28"/>
        </w:rPr>
        <w:br/>
        <w:t>и деловой репутации, специалистов и иных работников определенного уровня квалификации» устанавливается следующий показатель:</w:t>
      </w:r>
    </w:p>
    <w:p w:rsidR="003000B7" w:rsidRDefault="003000B7" w:rsidP="003000B7">
      <w:pPr>
        <w:tabs>
          <w:tab w:val="left" w:pos="0"/>
        </w:tabs>
        <w:ind w:firstLine="709"/>
        <w:jc w:val="both"/>
        <w:rPr>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5297"/>
        <w:gridCol w:w="2531"/>
      </w:tblGrid>
      <w:tr w:rsidR="003000B7" w:rsidTr="003000B7">
        <w:tc>
          <w:tcPr>
            <w:tcW w:w="694" w:type="pct"/>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п/н показателя</w:t>
            </w:r>
          </w:p>
        </w:tc>
        <w:tc>
          <w:tcPr>
            <w:tcW w:w="3390" w:type="pct"/>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Показатели оценки заявок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917" w:type="pct"/>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коэффициент значимости показателя (КЗ), целые</w:t>
            </w:r>
          </w:p>
        </w:tc>
      </w:tr>
      <w:tr w:rsidR="003000B7" w:rsidTr="003000B7">
        <w:trPr>
          <w:trHeight w:val="301"/>
        </w:trPr>
        <w:tc>
          <w:tcPr>
            <w:tcW w:w="694" w:type="pct"/>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1.</w:t>
            </w:r>
          </w:p>
        </w:tc>
        <w:tc>
          <w:tcPr>
            <w:tcW w:w="3390" w:type="pct"/>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Деловая репутация участника конкурса</w:t>
            </w:r>
          </w:p>
        </w:tc>
        <w:tc>
          <w:tcPr>
            <w:tcW w:w="917" w:type="pct"/>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1,00</w:t>
            </w:r>
          </w:p>
        </w:tc>
      </w:tr>
    </w:tbl>
    <w:p w:rsidR="003000B7" w:rsidRDefault="003000B7" w:rsidP="003000B7">
      <w:pPr>
        <w:tabs>
          <w:tab w:val="left" w:pos="0"/>
        </w:tabs>
        <w:ind w:firstLine="709"/>
        <w:jc w:val="both"/>
        <w:rPr>
          <w:color w:val="000000"/>
          <w:sz w:val="28"/>
          <w:szCs w:val="28"/>
        </w:rPr>
      </w:pPr>
    </w:p>
    <w:p w:rsidR="003000B7" w:rsidRDefault="003000B7" w:rsidP="003000B7">
      <w:pPr>
        <w:tabs>
          <w:tab w:val="left" w:pos="0"/>
        </w:tabs>
        <w:ind w:firstLine="709"/>
        <w:jc w:val="both"/>
        <w:rPr>
          <w:color w:val="000000"/>
          <w:sz w:val="28"/>
          <w:szCs w:val="28"/>
        </w:rPr>
      </w:pPr>
      <w:r>
        <w:rPr>
          <w:color w:val="000000"/>
          <w:sz w:val="28"/>
          <w:szCs w:val="28"/>
        </w:rPr>
        <w:t xml:space="preserve">Для расчета рейтинга заявки (предложения) по показателю, баллы, присуждаемые этой заявке, умножаются на соответствующую указанному показателю значимость. </w:t>
      </w:r>
    </w:p>
    <w:p w:rsidR="003000B7" w:rsidRDefault="003000B7" w:rsidP="003000B7">
      <w:pPr>
        <w:tabs>
          <w:tab w:val="left" w:pos="0"/>
        </w:tabs>
        <w:ind w:firstLine="709"/>
        <w:jc w:val="both"/>
        <w:rPr>
          <w:color w:val="000000"/>
          <w:sz w:val="28"/>
          <w:szCs w:val="28"/>
        </w:rPr>
      </w:pPr>
      <w:r>
        <w:rPr>
          <w:color w:val="000000"/>
          <w:sz w:val="28"/>
          <w:szCs w:val="28"/>
        </w:rPr>
        <w:t>Рейтинг в баллах, присуждаемый i-ой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определяется по формуле:</w:t>
      </w:r>
    </w:p>
    <w:p w:rsidR="003000B7" w:rsidRDefault="003000B7" w:rsidP="003000B7">
      <w:pPr>
        <w:tabs>
          <w:tab w:val="left" w:pos="0"/>
        </w:tabs>
        <w:ind w:firstLine="709"/>
        <w:jc w:val="both"/>
        <w:rPr>
          <w:color w:val="000000"/>
          <w:sz w:val="28"/>
          <w:szCs w:val="28"/>
        </w:rPr>
      </w:pPr>
      <w:r>
        <w:rPr>
          <w:color w:val="000000"/>
          <w:sz w:val="28"/>
          <w:szCs w:val="28"/>
        </w:rPr>
        <w:t>НЦБi2 = НЦБi2.1, где:</w:t>
      </w:r>
    </w:p>
    <w:p w:rsidR="003000B7" w:rsidRDefault="003000B7" w:rsidP="003000B7">
      <w:pPr>
        <w:tabs>
          <w:tab w:val="left" w:pos="0"/>
        </w:tabs>
        <w:ind w:firstLine="709"/>
        <w:jc w:val="both"/>
        <w:rPr>
          <w:color w:val="000000"/>
          <w:sz w:val="28"/>
          <w:szCs w:val="28"/>
        </w:rPr>
      </w:pPr>
      <w:r>
        <w:rPr>
          <w:color w:val="000000"/>
          <w:sz w:val="28"/>
          <w:szCs w:val="28"/>
        </w:rPr>
        <w:t>НЦБi2.1 – количество баллов, присуждаемых i-ой заявке по показателю «Деловая репутация участника конкурса», умноженное на коэффициент значимости показателя.</w:t>
      </w:r>
    </w:p>
    <w:p w:rsidR="003000B7" w:rsidRDefault="003000B7" w:rsidP="003000B7">
      <w:pPr>
        <w:tabs>
          <w:tab w:val="left" w:pos="0"/>
        </w:tabs>
        <w:ind w:firstLine="709"/>
        <w:jc w:val="both"/>
        <w:rPr>
          <w:color w:val="000000"/>
          <w:sz w:val="28"/>
          <w:szCs w:val="28"/>
        </w:rPr>
      </w:pPr>
      <w:r>
        <w:rPr>
          <w:color w:val="000000"/>
          <w:sz w:val="28"/>
          <w:szCs w:val="28"/>
        </w:rPr>
        <w:t>Максимальное значение показателя составляет 100 баллов.</w:t>
      </w:r>
    </w:p>
    <w:p w:rsidR="003000B7" w:rsidRDefault="003000B7" w:rsidP="003000B7">
      <w:pPr>
        <w:tabs>
          <w:tab w:val="left" w:pos="0"/>
        </w:tabs>
        <w:ind w:firstLine="709"/>
        <w:jc w:val="both"/>
        <w:rPr>
          <w:color w:val="000000"/>
          <w:sz w:val="28"/>
          <w:szCs w:val="28"/>
        </w:rPr>
      </w:pPr>
      <w:r>
        <w:rPr>
          <w:color w:val="000000"/>
          <w:sz w:val="28"/>
          <w:szCs w:val="28"/>
        </w:rPr>
        <w:t xml:space="preserve">15.12.1. В рамках показателя «Деловая репутация участника конкурса»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оценивается индекс деловой репутации участника закупки. </w:t>
      </w:r>
    </w:p>
    <w:p w:rsidR="003000B7" w:rsidRDefault="003000B7" w:rsidP="003000B7">
      <w:pPr>
        <w:tabs>
          <w:tab w:val="left" w:pos="0"/>
        </w:tabs>
        <w:ind w:firstLine="709"/>
        <w:jc w:val="both"/>
        <w:rPr>
          <w:color w:val="000000"/>
          <w:sz w:val="28"/>
          <w:szCs w:val="28"/>
        </w:rPr>
      </w:pPr>
      <w:r>
        <w:rPr>
          <w:color w:val="000000"/>
          <w:sz w:val="28"/>
          <w:szCs w:val="28"/>
        </w:rPr>
        <w:t xml:space="preserve">В соответствии с пунктом 11 Правил, конкурсной документацией установлено предельно необходимое максимальное количественное значение квалификационных характеристик, которые подлежат оценке по показателю «Деловая репутация участника конкурса» </w:t>
      </w:r>
      <w:proofErr w:type="spellStart"/>
      <w:r>
        <w:rPr>
          <w:color w:val="000000"/>
          <w:sz w:val="28"/>
          <w:szCs w:val="28"/>
        </w:rPr>
        <w:t>нестоимостного</w:t>
      </w:r>
      <w:proofErr w:type="spellEnd"/>
      <w:r>
        <w:rPr>
          <w:color w:val="000000"/>
          <w:sz w:val="28"/>
          <w:szCs w:val="28"/>
        </w:rPr>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3000B7" w:rsidRDefault="003000B7" w:rsidP="003000B7">
      <w:pPr>
        <w:tabs>
          <w:tab w:val="left" w:pos="0"/>
        </w:tabs>
        <w:ind w:firstLine="709"/>
        <w:jc w:val="both"/>
        <w:rPr>
          <w:color w:val="000000"/>
          <w:sz w:val="28"/>
          <w:szCs w:val="28"/>
        </w:rPr>
      </w:pPr>
      <w:r>
        <w:rPr>
          <w:color w:val="000000"/>
          <w:sz w:val="28"/>
          <w:szCs w:val="28"/>
        </w:rPr>
        <w:t xml:space="preserve">Для заказчика лучшим условием исполнения контракта по показателю «Деловая репутация участника конкурса» является наибольшее значение этого показателя. Количество баллов, присуждаемых по показателю «Деловая репутация участника конкурса» </w:t>
      </w:r>
      <w:proofErr w:type="spellStart"/>
      <w:r>
        <w:rPr>
          <w:color w:val="000000"/>
          <w:sz w:val="28"/>
          <w:szCs w:val="28"/>
        </w:rPr>
        <w:t>НЦБi</w:t>
      </w:r>
      <w:proofErr w:type="spellEnd"/>
      <w:r>
        <w:rPr>
          <w:color w:val="000000"/>
          <w:sz w:val="28"/>
          <w:szCs w:val="28"/>
        </w:rPr>
        <w:t xml:space="preserve"> (1), определяется: </w:t>
      </w:r>
    </w:p>
    <w:p w:rsidR="003000B7" w:rsidRDefault="003000B7" w:rsidP="003000B7">
      <w:pPr>
        <w:tabs>
          <w:tab w:val="left" w:pos="0"/>
        </w:tabs>
        <w:ind w:firstLine="709"/>
        <w:jc w:val="both"/>
        <w:rPr>
          <w:color w:val="000000"/>
          <w:sz w:val="28"/>
          <w:szCs w:val="28"/>
        </w:rPr>
      </w:pPr>
      <w:r>
        <w:rPr>
          <w:color w:val="000000"/>
          <w:sz w:val="28"/>
          <w:szCs w:val="28"/>
        </w:rPr>
        <w:t xml:space="preserve">а) в случае, если </w:t>
      </w:r>
      <w:proofErr w:type="spellStart"/>
      <w:r>
        <w:rPr>
          <w:color w:val="000000"/>
          <w:sz w:val="28"/>
          <w:szCs w:val="28"/>
        </w:rPr>
        <w:t>Kmax</w:t>
      </w:r>
      <w:proofErr w:type="spellEnd"/>
      <w:r>
        <w:rPr>
          <w:color w:val="000000"/>
          <w:sz w:val="28"/>
          <w:szCs w:val="28"/>
        </w:rPr>
        <w:t xml:space="preserve"> </w:t>
      </w:r>
      <w:proofErr w:type="gramStart"/>
      <w:r>
        <w:rPr>
          <w:color w:val="000000"/>
          <w:sz w:val="28"/>
          <w:szCs w:val="28"/>
        </w:rPr>
        <w:t xml:space="preserve">&lt; </w:t>
      </w:r>
      <w:proofErr w:type="spellStart"/>
      <w:r>
        <w:rPr>
          <w:color w:val="000000"/>
          <w:sz w:val="28"/>
          <w:szCs w:val="28"/>
        </w:rPr>
        <w:t>K</w:t>
      </w:r>
      <w:proofErr w:type="gramEnd"/>
      <w:r>
        <w:rPr>
          <w:color w:val="000000"/>
          <w:sz w:val="28"/>
          <w:szCs w:val="28"/>
        </w:rPr>
        <w:t>пред</w:t>
      </w:r>
      <w:proofErr w:type="spellEnd"/>
      <w:r>
        <w:rPr>
          <w:color w:val="000000"/>
          <w:sz w:val="28"/>
          <w:szCs w:val="28"/>
        </w:rPr>
        <w:t xml:space="preserve"> , - по формуле: </w:t>
      </w:r>
      <w:proofErr w:type="spellStart"/>
      <w:r>
        <w:rPr>
          <w:color w:val="000000"/>
          <w:sz w:val="28"/>
          <w:szCs w:val="28"/>
        </w:rPr>
        <w:t>НЦБi</w:t>
      </w:r>
      <w:proofErr w:type="spellEnd"/>
      <w:r>
        <w:rPr>
          <w:color w:val="000000"/>
          <w:sz w:val="28"/>
          <w:szCs w:val="28"/>
        </w:rPr>
        <w:t xml:space="preserve"> (1)= КЗ * 100 *</w:t>
      </w:r>
      <w:proofErr w:type="spellStart"/>
      <w:r>
        <w:rPr>
          <w:color w:val="000000"/>
          <w:sz w:val="28"/>
          <w:szCs w:val="28"/>
        </w:rPr>
        <w:t>Ki</w:t>
      </w:r>
      <w:proofErr w:type="spellEnd"/>
      <w:r>
        <w:rPr>
          <w:color w:val="000000"/>
          <w:sz w:val="28"/>
          <w:szCs w:val="28"/>
        </w:rPr>
        <w:t xml:space="preserve"> / </w:t>
      </w:r>
      <w:proofErr w:type="spellStart"/>
      <w:r>
        <w:rPr>
          <w:color w:val="000000"/>
          <w:sz w:val="28"/>
          <w:szCs w:val="28"/>
        </w:rPr>
        <w:t>Kmax</w:t>
      </w:r>
      <w:proofErr w:type="spellEnd"/>
    </w:p>
    <w:p w:rsidR="003000B7" w:rsidRDefault="003000B7" w:rsidP="003000B7">
      <w:pPr>
        <w:tabs>
          <w:tab w:val="left" w:pos="0"/>
        </w:tabs>
        <w:ind w:firstLine="709"/>
        <w:jc w:val="both"/>
        <w:rPr>
          <w:color w:val="000000"/>
          <w:sz w:val="28"/>
          <w:szCs w:val="28"/>
        </w:rPr>
      </w:pPr>
      <w:r>
        <w:rPr>
          <w:color w:val="000000"/>
          <w:sz w:val="28"/>
          <w:szCs w:val="28"/>
        </w:rPr>
        <w:t xml:space="preserve">б) в случае, если </w:t>
      </w:r>
      <w:proofErr w:type="spellStart"/>
      <w:r>
        <w:rPr>
          <w:color w:val="000000"/>
          <w:sz w:val="28"/>
          <w:szCs w:val="28"/>
        </w:rPr>
        <w:t>Kmax</w:t>
      </w:r>
      <w:proofErr w:type="spellEnd"/>
      <w:r>
        <w:rPr>
          <w:color w:val="000000"/>
          <w:sz w:val="28"/>
          <w:szCs w:val="28"/>
        </w:rPr>
        <w:t xml:space="preserve"> ≥ </w:t>
      </w:r>
      <w:proofErr w:type="spellStart"/>
      <w:r>
        <w:rPr>
          <w:color w:val="000000"/>
          <w:sz w:val="28"/>
          <w:szCs w:val="28"/>
        </w:rPr>
        <w:t>K</w:t>
      </w:r>
      <w:proofErr w:type="gramStart"/>
      <w:r>
        <w:rPr>
          <w:color w:val="000000"/>
          <w:sz w:val="28"/>
          <w:szCs w:val="28"/>
        </w:rPr>
        <w:t>пред</w:t>
      </w:r>
      <w:proofErr w:type="spellEnd"/>
      <w:r>
        <w:rPr>
          <w:color w:val="000000"/>
          <w:sz w:val="28"/>
          <w:szCs w:val="28"/>
        </w:rPr>
        <w:t xml:space="preserve"> ,</w:t>
      </w:r>
      <w:proofErr w:type="gramEnd"/>
      <w:r>
        <w:rPr>
          <w:color w:val="000000"/>
          <w:sz w:val="28"/>
          <w:szCs w:val="28"/>
        </w:rPr>
        <w:t xml:space="preserve"> - по формуле: </w:t>
      </w:r>
      <w:proofErr w:type="spellStart"/>
      <w:r>
        <w:rPr>
          <w:color w:val="000000"/>
          <w:sz w:val="28"/>
          <w:szCs w:val="28"/>
        </w:rPr>
        <w:t>НЦБi</w:t>
      </w:r>
      <w:proofErr w:type="spellEnd"/>
      <w:r>
        <w:rPr>
          <w:color w:val="000000"/>
          <w:sz w:val="28"/>
          <w:szCs w:val="28"/>
        </w:rPr>
        <w:t xml:space="preserve"> (1)= КЗ * 100 *</w:t>
      </w:r>
      <w:proofErr w:type="spellStart"/>
      <w:r>
        <w:rPr>
          <w:color w:val="000000"/>
          <w:sz w:val="28"/>
          <w:szCs w:val="28"/>
        </w:rPr>
        <w:t>Ki</w:t>
      </w:r>
      <w:proofErr w:type="spellEnd"/>
      <w:r>
        <w:rPr>
          <w:color w:val="000000"/>
          <w:sz w:val="28"/>
          <w:szCs w:val="28"/>
        </w:rPr>
        <w:t xml:space="preserve"> / </w:t>
      </w:r>
      <w:proofErr w:type="spellStart"/>
      <w:r>
        <w:rPr>
          <w:color w:val="000000"/>
          <w:sz w:val="28"/>
          <w:szCs w:val="28"/>
        </w:rPr>
        <w:t>Kпред</w:t>
      </w:r>
      <w:proofErr w:type="spellEnd"/>
      <w:r>
        <w:rPr>
          <w:color w:val="000000"/>
          <w:sz w:val="28"/>
          <w:szCs w:val="28"/>
        </w:rPr>
        <w:t xml:space="preserve"> при этом </w:t>
      </w:r>
      <w:proofErr w:type="spellStart"/>
      <w:r>
        <w:rPr>
          <w:color w:val="000000"/>
          <w:sz w:val="28"/>
          <w:szCs w:val="28"/>
        </w:rPr>
        <w:t>НЦБmax</w:t>
      </w:r>
      <w:proofErr w:type="spellEnd"/>
      <w:r>
        <w:rPr>
          <w:color w:val="000000"/>
          <w:sz w:val="28"/>
          <w:szCs w:val="28"/>
        </w:rPr>
        <w:t xml:space="preserve"> = КЗ * 100, где: </w:t>
      </w:r>
    </w:p>
    <w:p w:rsidR="003000B7" w:rsidRDefault="003000B7" w:rsidP="003000B7">
      <w:pPr>
        <w:tabs>
          <w:tab w:val="left" w:pos="0"/>
        </w:tabs>
        <w:ind w:firstLine="709"/>
        <w:jc w:val="both"/>
        <w:rPr>
          <w:color w:val="000000"/>
          <w:sz w:val="28"/>
          <w:szCs w:val="28"/>
        </w:rPr>
      </w:pPr>
      <w:r>
        <w:rPr>
          <w:color w:val="000000"/>
          <w:sz w:val="28"/>
          <w:szCs w:val="28"/>
        </w:rPr>
        <w:t xml:space="preserve">КЗ – коэффициент значимости показателя; </w:t>
      </w:r>
    </w:p>
    <w:p w:rsidR="003000B7" w:rsidRDefault="003000B7" w:rsidP="003000B7">
      <w:pPr>
        <w:tabs>
          <w:tab w:val="left" w:pos="0"/>
        </w:tabs>
        <w:ind w:firstLine="709"/>
        <w:jc w:val="both"/>
        <w:rPr>
          <w:color w:val="000000"/>
          <w:sz w:val="28"/>
          <w:szCs w:val="28"/>
        </w:rPr>
      </w:pPr>
      <w:proofErr w:type="spellStart"/>
      <w:r>
        <w:rPr>
          <w:color w:val="000000"/>
          <w:sz w:val="28"/>
          <w:szCs w:val="28"/>
        </w:rPr>
        <w:t>Ki</w:t>
      </w:r>
      <w:proofErr w:type="spellEnd"/>
      <w:r>
        <w:rPr>
          <w:color w:val="000000"/>
          <w:sz w:val="28"/>
          <w:szCs w:val="28"/>
        </w:rPr>
        <w:t xml:space="preserve"> – значение индекса деловой репутации участника конкурса, заявка которого оценивается; </w:t>
      </w:r>
    </w:p>
    <w:p w:rsidR="003000B7" w:rsidRDefault="003000B7" w:rsidP="003000B7">
      <w:pPr>
        <w:tabs>
          <w:tab w:val="left" w:pos="0"/>
        </w:tabs>
        <w:ind w:firstLine="709"/>
        <w:jc w:val="both"/>
        <w:rPr>
          <w:color w:val="000000"/>
          <w:sz w:val="28"/>
          <w:szCs w:val="28"/>
        </w:rPr>
      </w:pPr>
      <w:proofErr w:type="spellStart"/>
      <w:r>
        <w:rPr>
          <w:color w:val="000000"/>
          <w:sz w:val="28"/>
          <w:szCs w:val="28"/>
        </w:rPr>
        <w:lastRenderedPageBreak/>
        <w:t>Kmax</w:t>
      </w:r>
      <w:proofErr w:type="spellEnd"/>
      <w:r>
        <w:rPr>
          <w:color w:val="000000"/>
          <w:sz w:val="28"/>
          <w:szCs w:val="28"/>
        </w:rPr>
        <w:t xml:space="preserve"> – максимальное значение итогового индекса деловой репутации из значений, содержащихся в предложениях участников закупки; </w:t>
      </w:r>
    </w:p>
    <w:p w:rsidR="003000B7" w:rsidRDefault="003000B7" w:rsidP="003000B7">
      <w:pPr>
        <w:tabs>
          <w:tab w:val="left" w:pos="0"/>
        </w:tabs>
        <w:ind w:firstLine="709"/>
        <w:jc w:val="both"/>
        <w:rPr>
          <w:color w:val="000000"/>
          <w:sz w:val="28"/>
          <w:szCs w:val="28"/>
        </w:rPr>
      </w:pPr>
      <w:proofErr w:type="spellStart"/>
      <w:r>
        <w:rPr>
          <w:color w:val="000000"/>
          <w:sz w:val="28"/>
          <w:szCs w:val="28"/>
        </w:rPr>
        <w:t>Kпред</w:t>
      </w:r>
      <w:proofErr w:type="spellEnd"/>
      <w:r>
        <w:rPr>
          <w:color w:val="000000"/>
          <w:sz w:val="28"/>
          <w:szCs w:val="28"/>
        </w:rPr>
        <w:t xml:space="preserve"> – предельно необходимое заказчику значение индекса деловой репутации, установленное в соответствии с абзацем вторым пункта 11 Правил, составляет 100;</w:t>
      </w:r>
    </w:p>
    <w:p w:rsidR="003000B7" w:rsidRDefault="003000B7" w:rsidP="003000B7">
      <w:pPr>
        <w:tabs>
          <w:tab w:val="left" w:pos="0"/>
        </w:tabs>
        <w:ind w:firstLine="709"/>
        <w:jc w:val="both"/>
        <w:rPr>
          <w:color w:val="000000"/>
          <w:sz w:val="28"/>
          <w:szCs w:val="28"/>
        </w:rPr>
      </w:pPr>
      <w:proofErr w:type="spellStart"/>
      <w:r>
        <w:rPr>
          <w:color w:val="000000"/>
          <w:sz w:val="28"/>
          <w:szCs w:val="28"/>
        </w:rPr>
        <w:t>НЦБmax</w:t>
      </w:r>
      <w:proofErr w:type="spellEnd"/>
      <w:r>
        <w:rPr>
          <w:color w:val="000000"/>
          <w:sz w:val="28"/>
          <w:szCs w:val="28"/>
        </w:rPr>
        <w:t xml:space="preserve"> – количество баллов, присуждаемых участникам, значение индекса деловой репутации которых превышает предельно необходимое максимальное значение, установленное заказчиком. </w:t>
      </w:r>
    </w:p>
    <w:p w:rsidR="003000B7" w:rsidRDefault="003000B7" w:rsidP="003000B7">
      <w:pPr>
        <w:tabs>
          <w:tab w:val="left" w:pos="0"/>
        </w:tabs>
        <w:ind w:firstLine="709"/>
        <w:jc w:val="both"/>
        <w:rPr>
          <w:color w:val="000000"/>
          <w:sz w:val="28"/>
          <w:szCs w:val="28"/>
        </w:rPr>
      </w:pPr>
      <w:r>
        <w:rPr>
          <w:color w:val="000000"/>
          <w:sz w:val="28"/>
          <w:szCs w:val="28"/>
        </w:rPr>
        <w:t xml:space="preserve">Участнику закупки, сделавшему предложение, соответствующее значению </w:t>
      </w:r>
      <w:proofErr w:type="spellStart"/>
      <w:r>
        <w:rPr>
          <w:color w:val="000000"/>
          <w:sz w:val="28"/>
          <w:szCs w:val="28"/>
        </w:rPr>
        <w:t>Kпред</w:t>
      </w:r>
      <w:proofErr w:type="spellEnd"/>
      <w:r>
        <w:rPr>
          <w:color w:val="000000"/>
          <w:sz w:val="28"/>
          <w:szCs w:val="28"/>
        </w:rPr>
        <w:t xml:space="preserve">, или лучшее предложение, присваивается 100 баллов. </w:t>
      </w:r>
    </w:p>
    <w:p w:rsidR="003000B7" w:rsidRDefault="003000B7" w:rsidP="003000B7">
      <w:pPr>
        <w:tabs>
          <w:tab w:val="left" w:pos="0"/>
        </w:tabs>
        <w:ind w:firstLine="709"/>
        <w:jc w:val="both"/>
        <w:rPr>
          <w:color w:val="000000"/>
          <w:sz w:val="28"/>
          <w:szCs w:val="28"/>
        </w:rPr>
      </w:pPr>
      <w:r>
        <w:rPr>
          <w:color w:val="000000"/>
          <w:sz w:val="28"/>
          <w:szCs w:val="28"/>
        </w:rPr>
        <w:t xml:space="preserve">В рамках показателя «Деловая репутация участника конкурса»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для подтверждения индекса деловой репутации, участнику закупки в составе заявки необходимо предоставить в свободной форме информацию о количестве набираемых им баллов по каждому фактору и </w:t>
      </w:r>
      <w:proofErr w:type="spellStart"/>
      <w:r>
        <w:rPr>
          <w:color w:val="000000"/>
          <w:sz w:val="28"/>
          <w:szCs w:val="28"/>
        </w:rPr>
        <w:t>субфактору</w:t>
      </w:r>
      <w:proofErr w:type="spellEnd"/>
      <w:r>
        <w:rPr>
          <w:color w:val="000000"/>
          <w:sz w:val="28"/>
          <w:szCs w:val="28"/>
        </w:rPr>
        <w:t xml:space="preserve"> (при его наличии) отдельно в соответствии с факторной моделью, установленной в настоящем пункте конкурсной документации, (участник может воспользоваться рекомендуемой формой «Индекс деловой репутации») и документы в соответствии с требованиями настоящего пункта конкурсной документации, подтверждающие указанное участником закупки количество баллов.</w:t>
      </w:r>
    </w:p>
    <w:p w:rsidR="003000B7" w:rsidRDefault="003000B7" w:rsidP="003000B7">
      <w:pPr>
        <w:tabs>
          <w:tab w:val="left" w:pos="0"/>
        </w:tabs>
        <w:ind w:firstLine="709"/>
        <w:jc w:val="both"/>
        <w:rPr>
          <w:color w:val="000000"/>
          <w:sz w:val="28"/>
          <w:szCs w:val="28"/>
        </w:rPr>
      </w:pPr>
      <w:r>
        <w:rPr>
          <w:color w:val="000000"/>
          <w:sz w:val="28"/>
          <w:szCs w:val="28"/>
        </w:rPr>
        <w:t>Рекомендуемая форма «Индекс деловой репутации»:</w:t>
      </w:r>
    </w:p>
    <w:p w:rsidR="003000B7" w:rsidRDefault="003000B7" w:rsidP="003000B7">
      <w:pPr>
        <w:tabs>
          <w:tab w:val="left" w:pos="0"/>
        </w:tabs>
        <w:ind w:firstLine="709"/>
        <w:jc w:val="both"/>
        <w:rPr>
          <w:color w:val="000000"/>
          <w:sz w:val="28"/>
          <w:szCs w:val="28"/>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3259"/>
        <w:gridCol w:w="2408"/>
        <w:gridCol w:w="14"/>
        <w:gridCol w:w="2396"/>
        <w:gridCol w:w="14"/>
      </w:tblGrid>
      <w:tr w:rsidR="003000B7" w:rsidTr="003000B7">
        <w:trPr>
          <w:gridAfter w:val="1"/>
          <w:wAfter w:w="14" w:type="dxa"/>
        </w:trPr>
        <w:tc>
          <w:tcPr>
            <w:tcW w:w="1554" w:type="dxa"/>
            <w:tcBorders>
              <w:top w:val="single" w:sz="4" w:space="0" w:color="auto"/>
              <w:left w:val="single" w:sz="4" w:space="0" w:color="auto"/>
              <w:bottom w:val="single" w:sz="4" w:space="0" w:color="auto"/>
              <w:right w:val="single" w:sz="4" w:space="0" w:color="auto"/>
            </w:tcBorders>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Обозначение фактора/</w:t>
            </w:r>
            <w:proofErr w:type="spellStart"/>
            <w:r>
              <w:rPr>
                <w:color w:val="000000"/>
                <w:sz w:val="28"/>
                <w:szCs w:val="28"/>
                <w:lang w:eastAsia="en-US"/>
              </w:rPr>
              <w:t>субфактора</w:t>
            </w:r>
            <w:proofErr w:type="spellEnd"/>
          </w:p>
        </w:tc>
        <w:tc>
          <w:tcPr>
            <w:tcW w:w="3259" w:type="dxa"/>
            <w:tcBorders>
              <w:top w:val="single" w:sz="4" w:space="0" w:color="auto"/>
              <w:left w:val="single" w:sz="4" w:space="0" w:color="auto"/>
              <w:bottom w:val="single" w:sz="4" w:space="0" w:color="auto"/>
              <w:right w:val="single" w:sz="4" w:space="0" w:color="auto"/>
            </w:tcBorders>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Наименование фактора/</w:t>
            </w:r>
            <w:proofErr w:type="spellStart"/>
            <w:r>
              <w:rPr>
                <w:color w:val="000000"/>
                <w:sz w:val="28"/>
                <w:szCs w:val="28"/>
                <w:lang w:eastAsia="en-US"/>
              </w:rPr>
              <w:t>субфактора</w:t>
            </w:r>
            <w:proofErr w:type="spellEnd"/>
          </w:p>
        </w:tc>
        <w:tc>
          <w:tcPr>
            <w:tcW w:w="2408" w:type="dxa"/>
            <w:tcBorders>
              <w:top w:val="single" w:sz="4" w:space="0" w:color="auto"/>
              <w:left w:val="single" w:sz="4" w:space="0" w:color="auto"/>
              <w:bottom w:val="single" w:sz="4" w:space="0" w:color="auto"/>
              <w:right w:val="single" w:sz="4" w:space="0" w:color="auto"/>
            </w:tcBorders>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Количество баллов без учета коэффициента значимости фактора/</w:t>
            </w:r>
            <w:proofErr w:type="spellStart"/>
            <w:r>
              <w:rPr>
                <w:color w:val="000000"/>
                <w:sz w:val="28"/>
                <w:szCs w:val="28"/>
                <w:lang w:eastAsia="en-US"/>
              </w:rPr>
              <w:t>субфактора</w:t>
            </w:r>
            <w:proofErr w:type="spellEnd"/>
          </w:p>
        </w:tc>
        <w:tc>
          <w:tcPr>
            <w:tcW w:w="2410" w:type="dxa"/>
            <w:gridSpan w:val="2"/>
            <w:tcBorders>
              <w:top w:val="single" w:sz="4" w:space="0" w:color="auto"/>
              <w:left w:val="single" w:sz="4" w:space="0" w:color="auto"/>
              <w:bottom w:val="single" w:sz="4" w:space="0" w:color="auto"/>
              <w:right w:val="single" w:sz="4" w:space="0" w:color="auto"/>
            </w:tcBorders>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Количество баллов с учетом коэффициента значимости фактора/</w:t>
            </w:r>
            <w:proofErr w:type="spellStart"/>
            <w:r>
              <w:rPr>
                <w:color w:val="000000"/>
                <w:sz w:val="28"/>
                <w:szCs w:val="28"/>
                <w:lang w:eastAsia="en-US"/>
              </w:rPr>
              <w:t>субфактора</w:t>
            </w:r>
            <w:proofErr w:type="spellEnd"/>
          </w:p>
        </w:tc>
      </w:tr>
      <w:tr w:rsidR="003000B7" w:rsidTr="003000B7">
        <w:trPr>
          <w:gridAfter w:val="1"/>
          <w:wAfter w:w="14" w:type="dxa"/>
        </w:trPr>
        <w:tc>
          <w:tcPr>
            <w:tcW w:w="1554" w:type="dxa"/>
            <w:tcBorders>
              <w:top w:val="single" w:sz="4" w:space="0" w:color="auto"/>
              <w:left w:val="single" w:sz="4" w:space="0" w:color="auto"/>
              <w:bottom w:val="single" w:sz="4" w:space="0" w:color="auto"/>
              <w:right w:val="single" w:sz="4" w:space="0" w:color="auto"/>
            </w:tcBorders>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Х1</w:t>
            </w:r>
          </w:p>
        </w:tc>
        <w:tc>
          <w:tcPr>
            <w:tcW w:w="3259" w:type="dxa"/>
            <w:tcBorders>
              <w:top w:val="single" w:sz="4" w:space="0" w:color="auto"/>
              <w:left w:val="single" w:sz="4" w:space="0" w:color="auto"/>
              <w:bottom w:val="single" w:sz="4" w:space="0" w:color="auto"/>
              <w:right w:val="single" w:sz="4" w:space="0" w:color="auto"/>
            </w:tcBorders>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История</w:t>
            </w:r>
          </w:p>
        </w:tc>
        <w:tc>
          <w:tcPr>
            <w:tcW w:w="2408" w:type="dxa"/>
            <w:tcBorders>
              <w:top w:val="single" w:sz="4" w:space="0" w:color="auto"/>
              <w:left w:val="single" w:sz="4" w:space="0" w:color="auto"/>
              <w:bottom w:val="single" w:sz="4" w:space="0" w:color="auto"/>
              <w:right w:val="single" w:sz="4" w:space="0" w:color="auto"/>
            </w:tcBorders>
          </w:tcPr>
          <w:p w:rsidR="003000B7" w:rsidRDefault="003000B7">
            <w:pPr>
              <w:tabs>
                <w:tab w:val="left" w:pos="0"/>
              </w:tabs>
              <w:spacing w:line="256" w:lineRule="auto"/>
              <w:ind w:firstLine="709"/>
              <w:jc w:val="both"/>
              <w:rPr>
                <w:color w:val="000000"/>
                <w:sz w:val="28"/>
                <w:szCs w:val="28"/>
                <w:lang w:eastAsia="en-US"/>
              </w:rPr>
            </w:pPr>
          </w:p>
        </w:tc>
        <w:tc>
          <w:tcPr>
            <w:tcW w:w="2410" w:type="dxa"/>
            <w:gridSpan w:val="2"/>
            <w:tcBorders>
              <w:top w:val="single" w:sz="4" w:space="0" w:color="auto"/>
              <w:left w:val="single" w:sz="4" w:space="0" w:color="auto"/>
              <w:bottom w:val="single" w:sz="4" w:space="0" w:color="auto"/>
              <w:right w:val="single" w:sz="4" w:space="0" w:color="auto"/>
            </w:tcBorders>
          </w:tcPr>
          <w:p w:rsidR="003000B7" w:rsidRDefault="003000B7">
            <w:pPr>
              <w:tabs>
                <w:tab w:val="left" w:pos="0"/>
              </w:tabs>
              <w:spacing w:line="256" w:lineRule="auto"/>
              <w:ind w:firstLine="709"/>
              <w:jc w:val="both"/>
              <w:rPr>
                <w:color w:val="000000"/>
                <w:sz w:val="28"/>
                <w:szCs w:val="28"/>
                <w:lang w:eastAsia="en-US"/>
              </w:rPr>
            </w:pPr>
          </w:p>
        </w:tc>
      </w:tr>
      <w:tr w:rsidR="003000B7" w:rsidTr="003000B7">
        <w:trPr>
          <w:gridAfter w:val="1"/>
          <w:wAfter w:w="14" w:type="dxa"/>
        </w:trPr>
        <w:tc>
          <w:tcPr>
            <w:tcW w:w="1554" w:type="dxa"/>
            <w:tcBorders>
              <w:top w:val="single" w:sz="4" w:space="0" w:color="auto"/>
              <w:left w:val="single" w:sz="4" w:space="0" w:color="auto"/>
              <w:bottom w:val="single" w:sz="4" w:space="0" w:color="auto"/>
              <w:right w:val="single" w:sz="4" w:space="0" w:color="auto"/>
            </w:tcBorders>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Х1.1</w:t>
            </w:r>
          </w:p>
        </w:tc>
        <w:tc>
          <w:tcPr>
            <w:tcW w:w="3259" w:type="dxa"/>
            <w:tcBorders>
              <w:top w:val="single" w:sz="4" w:space="0" w:color="auto"/>
              <w:left w:val="single" w:sz="4" w:space="0" w:color="auto"/>
              <w:bottom w:val="single" w:sz="4" w:space="0" w:color="auto"/>
              <w:right w:val="single" w:sz="4" w:space="0" w:color="auto"/>
            </w:tcBorders>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Количество лет на рынке</w:t>
            </w:r>
          </w:p>
        </w:tc>
        <w:tc>
          <w:tcPr>
            <w:tcW w:w="2408" w:type="dxa"/>
            <w:tcBorders>
              <w:top w:val="single" w:sz="4" w:space="0" w:color="auto"/>
              <w:left w:val="single" w:sz="4" w:space="0" w:color="auto"/>
              <w:bottom w:val="single" w:sz="4" w:space="0" w:color="auto"/>
              <w:right w:val="single" w:sz="4" w:space="0" w:color="auto"/>
            </w:tcBorders>
          </w:tcPr>
          <w:p w:rsidR="003000B7" w:rsidRDefault="003000B7">
            <w:pPr>
              <w:tabs>
                <w:tab w:val="left" w:pos="0"/>
              </w:tabs>
              <w:spacing w:line="256" w:lineRule="auto"/>
              <w:ind w:firstLine="709"/>
              <w:jc w:val="both"/>
              <w:rPr>
                <w:color w:val="000000"/>
                <w:sz w:val="28"/>
                <w:szCs w:val="28"/>
                <w:lang w:eastAsia="en-US"/>
              </w:rPr>
            </w:pPr>
          </w:p>
        </w:tc>
        <w:tc>
          <w:tcPr>
            <w:tcW w:w="2410" w:type="dxa"/>
            <w:gridSpan w:val="2"/>
            <w:tcBorders>
              <w:top w:val="single" w:sz="4" w:space="0" w:color="auto"/>
              <w:left w:val="single" w:sz="4" w:space="0" w:color="auto"/>
              <w:bottom w:val="single" w:sz="4" w:space="0" w:color="auto"/>
              <w:right w:val="single" w:sz="4" w:space="0" w:color="auto"/>
            </w:tcBorders>
          </w:tcPr>
          <w:p w:rsidR="003000B7" w:rsidRDefault="003000B7">
            <w:pPr>
              <w:tabs>
                <w:tab w:val="left" w:pos="0"/>
              </w:tabs>
              <w:spacing w:line="256" w:lineRule="auto"/>
              <w:ind w:firstLine="709"/>
              <w:jc w:val="both"/>
              <w:rPr>
                <w:color w:val="000000"/>
                <w:sz w:val="28"/>
                <w:szCs w:val="28"/>
                <w:lang w:eastAsia="en-US"/>
              </w:rPr>
            </w:pPr>
          </w:p>
        </w:tc>
      </w:tr>
      <w:tr w:rsidR="003000B7" w:rsidTr="003000B7">
        <w:trPr>
          <w:gridAfter w:val="1"/>
          <w:wAfter w:w="14" w:type="dxa"/>
        </w:trPr>
        <w:tc>
          <w:tcPr>
            <w:tcW w:w="1554" w:type="dxa"/>
            <w:tcBorders>
              <w:top w:val="single" w:sz="4" w:space="0" w:color="auto"/>
              <w:left w:val="single" w:sz="4" w:space="0" w:color="auto"/>
              <w:bottom w:val="single" w:sz="4" w:space="0" w:color="auto"/>
              <w:right w:val="single" w:sz="4" w:space="0" w:color="auto"/>
            </w:tcBorders>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Х2</w:t>
            </w:r>
          </w:p>
        </w:tc>
        <w:tc>
          <w:tcPr>
            <w:tcW w:w="3259" w:type="dxa"/>
            <w:tcBorders>
              <w:top w:val="single" w:sz="4" w:space="0" w:color="auto"/>
              <w:left w:val="single" w:sz="4" w:space="0" w:color="auto"/>
              <w:bottom w:val="single" w:sz="4" w:space="0" w:color="auto"/>
              <w:right w:val="single" w:sz="4" w:space="0" w:color="auto"/>
            </w:tcBorders>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Средства</w:t>
            </w:r>
          </w:p>
        </w:tc>
        <w:tc>
          <w:tcPr>
            <w:tcW w:w="2408" w:type="dxa"/>
            <w:tcBorders>
              <w:top w:val="single" w:sz="4" w:space="0" w:color="auto"/>
              <w:left w:val="single" w:sz="4" w:space="0" w:color="auto"/>
              <w:bottom w:val="single" w:sz="4" w:space="0" w:color="auto"/>
              <w:right w:val="single" w:sz="4" w:space="0" w:color="auto"/>
            </w:tcBorders>
          </w:tcPr>
          <w:p w:rsidR="003000B7" w:rsidRDefault="003000B7">
            <w:pPr>
              <w:tabs>
                <w:tab w:val="left" w:pos="0"/>
              </w:tabs>
              <w:spacing w:line="256" w:lineRule="auto"/>
              <w:ind w:firstLine="709"/>
              <w:jc w:val="both"/>
              <w:rPr>
                <w:color w:val="000000"/>
                <w:sz w:val="28"/>
                <w:szCs w:val="28"/>
                <w:lang w:eastAsia="en-US"/>
              </w:rPr>
            </w:pPr>
          </w:p>
        </w:tc>
        <w:tc>
          <w:tcPr>
            <w:tcW w:w="2410" w:type="dxa"/>
            <w:gridSpan w:val="2"/>
            <w:tcBorders>
              <w:top w:val="single" w:sz="4" w:space="0" w:color="auto"/>
              <w:left w:val="single" w:sz="4" w:space="0" w:color="auto"/>
              <w:bottom w:val="single" w:sz="4" w:space="0" w:color="auto"/>
              <w:right w:val="single" w:sz="4" w:space="0" w:color="auto"/>
            </w:tcBorders>
          </w:tcPr>
          <w:p w:rsidR="003000B7" w:rsidRDefault="003000B7">
            <w:pPr>
              <w:tabs>
                <w:tab w:val="left" w:pos="0"/>
              </w:tabs>
              <w:spacing w:line="256" w:lineRule="auto"/>
              <w:ind w:firstLine="709"/>
              <w:jc w:val="both"/>
              <w:rPr>
                <w:color w:val="000000"/>
                <w:sz w:val="28"/>
                <w:szCs w:val="28"/>
                <w:lang w:eastAsia="en-US"/>
              </w:rPr>
            </w:pPr>
          </w:p>
        </w:tc>
      </w:tr>
      <w:tr w:rsidR="003000B7" w:rsidTr="003000B7">
        <w:trPr>
          <w:gridAfter w:val="1"/>
          <w:wAfter w:w="14" w:type="dxa"/>
        </w:trPr>
        <w:tc>
          <w:tcPr>
            <w:tcW w:w="1554" w:type="dxa"/>
            <w:tcBorders>
              <w:top w:val="single" w:sz="4" w:space="0" w:color="auto"/>
              <w:left w:val="single" w:sz="4" w:space="0" w:color="auto"/>
              <w:bottom w:val="single" w:sz="4" w:space="0" w:color="auto"/>
              <w:right w:val="single" w:sz="4" w:space="0" w:color="auto"/>
            </w:tcBorders>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Х2.1</w:t>
            </w:r>
          </w:p>
        </w:tc>
        <w:tc>
          <w:tcPr>
            <w:tcW w:w="3259" w:type="dxa"/>
            <w:tcBorders>
              <w:top w:val="single" w:sz="4" w:space="0" w:color="auto"/>
              <w:left w:val="single" w:sz="4" w:space="0" w:color="auto"/>
              <w:bottom w:val="single" w:sz="4" w:space="0" w:color="auto"/>
              <w:right w:val="single" w:sz="4" w:space="0" w:color="auto"/>
            </w:tcBorders>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Обеспеченность материально-техническими ресурсами</w:t>
            </w:r>
          </w:p>
        </w:tc>
        <w:tc>
          <w:tcPr>
            <w:tcW w:w="2408" w:type="dxa"/>
            <w:tcBorders>
              <w:top w:val="single" w:sz="4" w:space="0" w:color="auto"/>
              <w:left w:val="single" w:sz="4" w:space="0" w:color="auto"/>
              <w:bottom w:val="single" w:sz="4" w:space="0" w:color="auto"/>
              <w:right w:val="single" w:sz="4" w:space="0" w:color="auto"/>
            </w:tcBorders>
          </w:tcPr>
          <w:p w:rsidR="003000B7" w:rsidRDefault="003000B7">
            <w:pPr>
              <w:tabs>
                <w:tab w:val="left" w:pos="0"/>
              </w:tabs>
              <w:spacing w:line="256" w:lineRule="auto"/>
              <w:ind w:firstLine="709"/>
              <w:jc w:val="both"/>
              <w:rPr>
                <w:color w:val="000000"/>
                <w:sz w:val="28"/>
                <w:szCs w:val="28"/>
                <w:lang w:eastAsia="en-US"/>
              </w:rPr>
            </w:pPr>
          </w:p>
        </w:tc>
        <w:tc>
          <w:tcPr>
            <w:tcW w:w="2410" w:type="dxa"/>
            <w:gridSpan w:val="2"/>
            <w:tcBorders>
              <w:top w:val="single" w:sz="4" w:space="0" w:color="auto"/>
              <w:left w:val="single" w:sz="4" w:space="0" w:color="auto"/>
              <w:bottom w:val="single" w:sz="4" w:space="0" w:color="auto"/>
              <w:right w:val="single" w:sz="4" w:space="0" w:color="auto"/>
            </w:tcBorders>
          </w:tcPr>
          <w:p w:rsidR="003000B7" w:rsidRDefault="003000B7">
            <w:pPr>
              <w:tabs>
                <w:tab w:val="left" w:pos="0"/>
              </w:tabs>
              <w:spacing w:line="256" w:lineRule="auto"/>
              <w:ind w:firstLine="709"/>
              <w:jc w:val="both"/>
              <w:rPr>
                <w:color w:val="000000"/>
                <w:sz w:val="28"/>
                <w:szCs w:val="28"/>
                <w:lang w:eastAsia="en-US"/>
              </w:rPr>
            </w:pPr>
          </w:p>
        </w:tc>
      </w:tr>
      <w:tr w:rsidR="003000B7" w:rsidTr="003000B7">
        <w:trPr>
          <w:gridAfter w:val="1"/>
          <w:wAfter w:w="14" w:type="dxa"/>
        </w:trPr>
        <w:tc>
          <w:tcPr>
            <w:tcW w:w="1554" w:type="dxa"/>
            <w:tcBorders>
              <w:top w:val="single" w:sz="4" w:space="0" w:color="auto"/>
              <w:left w:val="single" w:sz="4" w:space="0" w:color="auto"/>
              <w:bottom w:val="single" w:sz="4" w:space="0" w:color="auto"/>
              <w:right w:val="single" w:sz="4" w:space="0" w:color="auto"/>
            </w:tcBorders>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Х3</w:t>
            </w:r>
          </w:p>
        </w:tc>
        <w:tc>
          <w:tcPr>
            <w:tcW w:w="3259" w:type="dxa"/>
            <w:tcBorders>
              <w:top w:val="single" w:sz="4" w:space="0" w:color="auto"/>
              <w:left w:val="single" w:sz="4" w:space="0" w:color="auto"/>
              <w:bottom w:val="single" w:sz="4" w:space="0" w:color="auto"/>
              <w:right w:val="single" w:sz="4" w:space="0" w:color="auto"/>
            </w:tcBorders>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Кадры</w:t>
            </w:r>
          </w:p>
        </w:tc>
        <w:tc>
          <w:tcPr>
            <w:tcW w:w="2408" w:type="dxa"/>
            <w:tcBorders>
              <w:top w:val="single" w:sz="4" w:space="0" w:color="auto"/>
              <w:left w:val="single" w:sz="4" w:space="0" w:color="auto"/>
              <w:bottom w:val="single" w:sz="4" w:space="0" w:color="auto"/>
              <w:right w:val="single" w:sz="4" w:space="0" w:color="auto"/>
            </w:tcBorders>
          </w:tcPr>
          <w:p w:rsidR="003000B7" w:rsidRDefault="003000B7">
            <w:pPr>
              <w:tabs>
                <w:tab w:val="left" w:pos="0"/>
              </w:tabs>
              <w:spacing w:line="256" w:lineRule="auto"/>
              <w:ind w:firstLine="709"/>
              <w:jc w:val="both"/>
              <w:rPr>
                <w:color w:val="000000"/>
                <w:sz w:val="28"/>
                <w:szCs w:val="28"/>
                <w:lang w:eastAsia="en-US"/>
              </w:rPr>
            </w:pPr>
          </w:p>
        </w:tc>
        <w:tc>
          <w:tcPr>
            <w:tcW w:w="2410" w:type="dxa"/>
            <w:gridSpan w:val="2"/>
            <w:tcBorders>
              <w:top w:val="single" w:sz="4" w:space="0" w:color="auto"/>
              <w:left w:val="single" w:sz="4" w:space="0" w:color="auto"/>
              <w:bottom w:val="single" w:sz="4" w:space="0" w:color="auto"/>
              <w:right w:val="single" w:sz="4" w:space="0" w:color="auto"/>
            </w:tcBorders>
          </w:tcPr>
          <w:p w:rsidR="003000B7" w:rsidRDefault="003000B7">
            <w:pPr>
              <w:tabs>
                <w:tab w:val="left" w:pos="0"/>
              </w:tabs>
              <w:spacing w:line="256" w:lineRule="auto"/>
              <w:ind w:firstLine="709"/>
              <w:jc w:val="both"/>
              <w:rPr>
                <w:color w:val="000000"/>
                <w:sz w:val="28"/>
                <w:szCs w:val="28"/>
                <w:lang w:eastAsia="en-US"/>
              </w:rPr>
            </w:pPr>
          </w:p>
        </w:tc>
      </w:tr>
      <w:tr w:rsidR="003000B7" w:rsidTr="003000B7">
        <w:trPr>
          <w:gridAfter w:val="1"/>
          <w:wAfter w:w="14" w:type="dxa"/>
        </w:trPr>
        <w:tc>
          <w:tcPr>
            <w:tcW w:w="1554" w:type="dxa"/>
            <w:tcBorders>
              <w:top w:val="single" w:sz="4" w:space="0" w:color="auto"/>
              <w:left w:val="single" w:sz="4" w:space="0" w:color="auto"/>
              <w:bottom w:val="single" w:sz="4" w:space="0" w:color="auto"/>
              <w:right w:val="single" w:sz="4" w:space="0" w:color="auto"/>
            </w:tcBorders>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lastRenderedPageBreak/>
              <w:t>Х3.1</w:t>
            </w:r>
          </w:p>
        </w:tc>
        <w:tc>
          <w:tcPr>
            <w:tcW w:w="3259" w:type="dxa"/>
            <w:tcBorders>
              <w:top w:val="single" w:sz="4" w:space="0" w:color="auto"/>
              <w:left w:val="single" w:sz="4" w:space="0" w:color="auto"/>
              <w:bottom w:val="single" w:sz="4" w:space="0" w:color="auto"/>
              <w:right w:val="single" w:sz="4" w:space="0" w:color="auto"/>
            </w:tcBorders>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Органы управления</w:t>
            </w:r>
          </w:p>
        </w:tc>
        <w:tc>
          <w:tcPr>
            <w:tcW w:w="2408" w:type="dxa"/>
            <w:tcBorders>
              <w:top w:val="single" w:sz="4" w:space="0" w:color="auto"/>
              <w:left w:val="single" w:sz="4" w:space="0" w:color="auto"/>
              <w:bottom w:val="single" w:sz="4" w:space="0" w:color="auto"/>
              <w:right w:val="single" w:sz="4" w:space="0" w:color="auto"/>
            </w:tcBorders>
          </w:tcPr>
          <w:p w:rsidR="003000B7" w:rsidRDefault="003000B7">
            <w:pPr>
              <w:tabs>
                <w:tab w:val="left" w:pos="0"/>
              </w:tabs>
              <w:spacing w:line="256" w:lineRule="auto"/>
              <w:ind w:firstLine="709"/>
              <w:jc w:val="both"/>
              <w:rPr>
                <w:color w:val="000000"/>
                <w:sz w:val="28"/>
                <w:szCs w:val="28"/>
                <w:lang w:eastAsia="en-US"/>
              </w:rPr>
            </w:pPr>
          </w:p>
        </w:tc>
        <w:tc>
          <w:tcPr>
            <w:tcW w:w="2410" w:type="dxa"/>
            <w:gridSpan w:val="2"/>
            <w:tcBorders>
              <w:top w:val="single" w:sz="4" w:space="0" w:color="auto"/>
              <w:left w:val="single" w:sz="4" w:space="0" w:color="auto"/>
              <w:bottom w:val="single" w:sz="4" w:space="0" w:color="auto"/>
              <w:right w:val="single" w:sz="4" w:space="0" w:color="auto"/>
            </w:tcBorders>
          </w:tcPr>
          <w:p w:rsidR="003000B7" w:rsidRDefault="003000B7">
            <w:pPr>
              <w:tabs>
                <w:tab w:val="left" w:pos="0"/>
              </w:tabs>
              <w:spacing w:line="256" w:lineRule="auto"/>
              <w:ind w:firstLine="709"/>
              <w:jc w:val="both"/>
              <w:rPr>
                <w:color w:val="000000"/>
                <w:sz w:val="28"/>
                <w:szCs w:val="28"/>
                <w:lang w:eastAsia="en-US"/>
              </w:rPr>
            </w:pPr>
          </w:p>
        </w:tc>
      </w:tr>
      <w:tr w:rsidR="003000B7" w:rsidTr="003000B7">
        <w:trPr>
          <w:gridAfter w:val="1"/>
          <w:wAfter w:w="14" w:type="dxa"/>
        </w:trPr>
        <w:tc>
          <w:tcPr>
            <w:tcW w:w="1554" w:type="dxa"/>
            <w:tcBorders>
              <w:top w:val="single" w:sz="4" w:space="0" w:color="auto"/>
              <w:left w:val="single" w:sz="4" w:space="0" w:color="auto"/>
              <w:bottom w:val="single" w:sz="4" w:space="0" w:color="auto"/>
              <w:right w:val="single" w:sz="4" w:space="0" w:color="auto"/>
            </w:tcBorders>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Х3.2</w:t>
            </w:r>
          </w:p>
        </w:tc>
        <w:tc>
          <w:tcPr>
            <w:tcW w:w="3259" w:type="dxa"/>
            <w:tcBorders>
              <w:top w:val="single" w:sz="4" w:space="0" w:color="auto"/>
              <w:left w:val="single" w:sz="4" w:space="0" w:color="auto"/>
              <w:bottom w:val="single" w:sz="4" w:space="0" w:color="auto"/>
              <w:right w:val="single" w:sz="4" w:space="0" w:color="auto"/>
            </w:tcBorders>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Среднее звено</w:t>
            </w:r>
          </w:p>
        </w:tc>
        <w:tc>
          <w:tcPr>
            <w:tcW w:w="2408" w:type="dxa"/>
            <w:tcBorders>
              <w:top w:val="single" w:sz="4" w:space="0" w:color="auto"/>
              <w:left w:val="single" w:sz="4" w:space="0" w:color="auto"/>
              <w:bottom w:val="single" w:sz="4" w:space="0" w:color="auto"/>
              <w:right w:val="single" w:sz="4" w:space="0" w:color="auto"/>
            </w:tcBorders>
          </w:tcPr>
          <w:p w:rsidR="003000B7" w:rsidRDefault="003000B7">
            <w:pPr>
              <w:tabs>
                <w:tab w:val="left" w:pos="0"/>
              </w:tabs>
              <w:spacing w:line="256" w:lineRule="auto"/>
              <w:ind w:firstLine="709"/>
              <w:jc w:val="both"/>
              <w:rPr>
                <w:color w:val="000000"/>
                <w:sz w:val="28"/>
                <w:szCs w:val="28"/>
                <w:lang w:eastAsia="en-US"/>
              </w:rPr>
            </w:pPr>
          </w:p>
        </w:tc>
        <w:tc>
          <w:tcPr>
            <w:tcW w:w="2410" w:type="dxa"/>
            <w:gridSpan w:val="2"/>
            <w:tcBorders>
              <w:top w:val="single" w:sz="4" w:space="0" w:color="auto"/>
              <w:left w:val="single" w:sz="4" w:space="0" w:color="auto"/>
              <w:bottom w:val="single" w:sz="4" w:space="0" w:color="auto"/>
              <w:right w:val="single" w:sz="4" w:space="0" w:color="auto"/>
            </w:tcBorders>
          </w:tcPr>
          <w:p w:rsidR="003000B7" w:rsidRDefault="003000B7">
            <w:pPr>
              <w:tabs>
                <w:tab w:val="left" w:pos="0"/>
              </w:tabs>
              <w:spacing w:line="256" w:lineRule="auto"/>
              <w:ind w:firstLine="709"/>
              <w:jc w:val="both"/>
              <w:rPr>
                <w:color w:val="000000"/>
                <w:sz w:val="28"/>
                <w:szCs w:val="28"/>
                <w:lang w:eastAsia="en-US"/>
              </w:rPr>
            </w:pPr>
          </w:p>
        </w:tc>
      </w:tr>
      <w:tr w:rsidR="003000B7" w:rsidTr="003000B7">
        <w:trPr>
          <w:gridAfter w:val="1"/>
          <w:wAfter w:w="14" w:type="dxa"/>
        </w:trPr>
        <w:tc>
          <w:tcPr>
            <w:tcW w:w="1554" w:type="dxa"/>
            <w:tcBorders>
              <w:top w:val="single" w:sz="4" w:space="0" w:color="auto"/>
              <w:left w:val="single" w:sz="4" w:space="0" w:color="auto"/>
              <w:bottom w:val="single" w:sz="4" w:space="0" w:color="auto"/>
              <w:right w:val="single" w:sz="4" w:space="0" w:color="auto"/>
            </w:tcBorders>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Х4</w:t>
            </w:r>
          </w:p>
        </w:tc>
        <w:tc>
          <w:tcPr>
            <w:tcW w:w="3259" w:type="dxa"/>
            <w:tcBorders>
              <w:top w:val="single" w:sz="4" w:space="0" w:color="auto"/>
              <w:left w:val="single" w:sz="4" w:space="0" w:color="auto"/>
              <w:bottom w:val="single" w:sz="4" w:space="0" w:color="auto"/>
              <w:right w:val="single" w:sz="4" w:space="0" w:color="auto"/>
            </w:tcBorders>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Имидж</w:t>
            </w:r>
          </w:p>
        </w:tc>
        <w:tc>
          <w:tcPr>
            <w:tcW w:w="2408" w:type="dxa"/>
            <w:tcBorders>
              <w:top w:val="single" w:sz="4" w:space="0" w:color="auto"/>
              <w:left w:val="single" w:sz="4" w:space="0" w:color="auto"/>
              <w:bottom w:val="single" w:sz="4" w:space="0" w:color="auto"/>
              <w:right w:val="single" w:sz="4" w:space="0" w:color="auto"/>
            </w:tcBorders>
          </w:tcPr>
          <w:p w:rsidR="003000B7" w:rsidRDefault="003000B7">
            <w:pPr>
              <w:tabs>
                <w:tab w:val="left" w:pos="0"/>
              </w:tabs>
              <w:spacing w:line="256" w:lineRule="auto"/>
              <w:ind w:firstLine="709"/>
              <w:jc w:val="both"/>
              <w:rPr>
                <w:color w:val="000000"/>
                <w:sz w:val="28"/>
                <w:szCs w:val="28"/>
                <w:lang w:eastAsia="en-US"/>
              </w:rPr>
            </w:pPr>
          </w:p>
        </w:tc>
        <w:tc>
          <w:tcPr>
            <w:tcW w:w="2410" w:type="dxa"/>
            <w:gridSpan w:val="2"/>
            <w:tcBorders>
              <w:top w:val="single" w:sz="4" w:space="0" w:color="auto"/>
              <w:left w:val="single" w:sz="4" w:space="0" w:color="auto"/>
              <w:bottom w:val="single" w:sz="4" w:space="0" w:color="auto"/>
              <w:right w:val="single" w:sz="4" w:space="0" w:color="auto"/>
            </w:tcBorders>
          </w:tcPr>
          <w:p w:rsidR="003000B7" w:rsidRDefault="003000B7">
            <w:pPr>
              <w:tabs>
                <w:tab w:val="left" w:pos="0"/>
              </w:tabs>
              <w:spacing w:line="256" w:lineRule="auto"/>
              <w:ind w:firstLine="709"/>
              <w:jc w:val="both"/>
              <w:rPr>
                <w:color w:val="000000"/>
                <w:sz w:val="28"/>
                <w:szCs w:val="28"/>
                <w:lang w:eastAsia="en-US"/>
              </w:rPr>
            </w:pPr>
          </w:p>
        </w:tc>
      </w:tr>
      <w:tr w:rsidR="003000B7" w:rsidTr="003000B7">
        <w:trPr>
          <w:gridAfter w:val="1"/>
          <w:wAfter w:w="14" w:type="dxa"/>
        </w:trPr>
        <w:tc>
          <w:tcPr>
            <w:tcW w:w="1554" w:type="dxa"/>
            <w:tcBorders>
              <w:top w:val="single" w:sz="4" w:space="0" w:color="auto"/>
              <w:left w:val="single" w:sz="4" w:space="0" w:color="auto"/>
              <w:bottom w:val="single" w:sz="4" w:space="0" w:color="auto"/>
              <w:right w:val="single" w:sz="4" w:space="0" w:color="auto"/>
            </w:tcBorders>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Х4.1</w:t>
            </w:r>
          </w:p>
        </w:tc>
        <w:tc>
          <w:tcPr>
            <w:tcW w:w="3259" w:type="dxa"/>
            <w:tcBorders>
              <w:top w:val="single" w:sz="4" w:space="0" w:color="auto"/>
              <w:left w:val="single" w:sz="4" w:space="0" w:color="auto"/>
              <w:bottom w:val="single" w:sz="4" w:space="0" w:color="auto"/>
              <w:right w:val="single" w:sz="4" w:space="0" w:color="auto"/>
            </w:tcBorders>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Благодарности</w:t>
            </w:r>
          </w:p>
        </w:tc>
        <w:tc>
          <w:tcPr>
            <w:tcW w:w="2408" w:type="dxa"/>
            <w:tcBorders>
              <w:top w:val="single" w:sz="4" w:space="0" w:color="auto"/>
              <w:left w:val="single" w:sz="4" w:space="0" w:color="auto"/>
              <w:bottom w:val="single" w:sz="4" w:space="0" w:color="auto"/>
              <w:right w:val="single" w:sz="4" w:space="0" w:color="auto"/>
            </w:tcBorders>
          </w:tcPr>
          <w:p w:rsidR="003000B7" w:rsidRDefault="003000B7">
            <w:pPr>
              <w:tabs>
                <w:tab w:val="left" w:pos="0"/>
              </w:tabs>
              <w:spacing w:line="256" w:lineRule="auto"/>
              <w:ind w:firstLine="709"/>
              <w:jc w:val="both"/>
              <w:rPr>
                <w:color w:val="000000"/>
                <w:sz w:val="28"/>
                <w:szCs w:val="28"/>
                <w:lang w:eastAsia="en-US"/>
              </w:rPr>
            </w:pPr>
          </w:p>
        </w:tc>
        <w:tc>
          <w:tcPr>
            <w:tcW w:w="2410" w:type="dxa"/>
            <w:gridSpan w:val="2"/>
            <w:tcBorders>
              <w:top w:val="single" w:sz="4" w:space="0" w:color="auto"/>
              <w:left w:val="single" w:sz="4" w:space="0" w:color="auto"/>
              <w:bottom w:val="single" w:sz="4" w:space="0" w:color="auto"/>
              <w:right w:val="single" w:sz="4" w:space="0" w:color="auto"/>
            </w:tcBorders>
          </w:tcPr>
          <w:p w:rsidR="003000B7" w:rsidRDefault="003000B7">
            <w:pPr>
              <w:tabs>
                <w:tab w:val="left" w:pos="0"/>
              </w:tabs>
              <w:spacing w:line="256" w:lineRule="auto"/>
              <w:ind w:firstLine="709"/>
              <w:jc w:val="both"/>
              <w:rPr>
                <w:color w:val="000000"/>
                <w:sz w:val="28"/>
                <w:szCs w:val="28"/>
                <w:lang w:eastAsia="en-US"/>
              </w:rPr>
            </w:pPr>
          </w:p>
        </w:tc>
      </w:tr>
      <w:tr w:rsidR="003000B7" w:rsidTr="003000B7">
        <w:tc>
          <w:tcPr>
            <w:tcW w:w="7235" w:type="dxa"/>
            <w:gridSpan w:val="4"/>
            <w:tcBorders>
              <w:top w:val="single" w:sz="4" w:space="0" w:color="auto"/>
              <w:left w:val="single" w:sz="4" w:space="0" w:color="auto"/>
              <w:bottom w:val="single" w:sz="4" w:space="0" w:color="auto"/>
              <w:right w:val="single" w:sz="4" w:space="0" w:color="auto"/>
            </w:tcBorders>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Общее количество баллов по факторам (индекс деловой репутации)</w:t>
            </w:r>
          </w:p>
        </w:tc>
        <w:tc>
          <w:tcPr>
            <w:tcW w:w="2410" w:type="dxa"/>
            <w:gridSpan w:val="2"/>
            <w:tcBorders>
              <w:top w:val="single" w:sz="4" w:space="0" w:color="auto"/>
              <w:left w:val="single" w:sz="4" w:space="0" w:color="auto"/>
              <w:bottom w:val="single" w:sz="4" w:space="0" w:color="auto"/>
              <w:right w:val="single" w:sz="4" w:space="0" w:color="auto"/>
            </w:tcBorders>
          </w:tcPr>
          <w:p w:rsidR="003000B7" w:rsidRDefault="003000B7">
            <w:pPr>
              <w:tabs>
                <w:tab w:val="left" w:pos="0"/>
              </w:tabs>
              <w:spacing w:line="256" w:lineRule="auto"/>
              <w:ind w:firstLine="709"/>
              <w:jc w:val="both"/>
              <w:rPr>
                <w:color w:val="000000"/>
                <w:sz w:val="28"/>
                <w:szCs w:val="28"/>
                <w:lang w:eastAsia="en-US"/>
              </w:rPr>
            </w:pPr>
          </w:p>
        </w:tc>
      </w:tr>
    </w:tbl>
    <w:p w:rsidR="003000B7" w:rsidRDefault="003000B7" w:rsidP="003000B7">
      <w:pPr>
        <w:tabs>
          <w:tab w:val="left" w:pos="0"/>
        </w:tabs>
        <w:ind w:firstLine="709"/>
        <w:jc w:val="both"/>
        <w:rPr>
          <w:color w:val="000000"/>
          <w:sz w:val="28"/>
          <w:szCs w:val="28"/>
        </w:rPr>
      </w:pPr>
    </w:p>
    <w:p w:rsidR="003000B7" w:rsidRDefault="003000B7" w:rsidP="003000B7">
      <w:pPr>
        <w:tabs>
          <w:tab w:val="left" w:pos="0"/>
        </w:tabs>
        <w:ind w:firstLine="709"/>
        <w:jc w:val="both"/>
        <w:rPr>
          <w:color w:val="000000"/>
          <w:sz w:val="28"/>
          <w:szCs w:val="28"/>
        </w:rPr>
      </w:pPr>
      <w:r>
        <w:rPr>
          <w:color w:val="000000"/>
          <w:sz w:val="28"/>
          <w:szCs w:val="28"/>
        </w:rPr>
        <w:t xml:space="preserve">В рамках показателя «Деловая репутация участника конкурса»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в используемой факторной модели, индекс деловой репутации участника конкурса определяется конкурсной комиссией по выражению (формула итогового расчета индекс деловой репутации участника конкурса): </w:t>
      </w:r>
      <w:proofErr w:type="spellStart"/>
      <w:r>
        <w:rPr>
          <w:color w:val="000000"/>
          <w:sz w:val="28"/>
          <w:szCs w:val="28"/>
        </w:rPr>
        <w:t>Ki</w:t>
      </w:r>
      <w:proofErr w:type="spellEnd"/>
      <w:r>
        <w:rPr>
          <w:color w:val="000000"/>
          <w:sz w:val="28"/>
          <w:szCs w:val="28"/>
        </w:rPr>
        <w:t xml:space="preserve"> = Х1*D1*Х5+Х2*D2*Х5+(Х3.1*Х5+Х3.2*Х5)*D3+Х4*Х5*D4, где D1…</w:t>
      </w:r>
      <w:proofErr w:type="spellStart"/>
      <w:r>
        <w:rPr>
          <w:color w:val="000000"/>
          <w:sz w:val="28"/>
          <w:szCs w:val="28"/>
        </w:rPr>
        <w:t>Dn</w:t>
      </w:r>
      <w:proofErr w:type="spellEnd"/>
      <w:r>
        <w:rPr>
          <w:color w:val="000000"/>
          <w:sz w:val="28"/>
          <w:szCs w:val="28"/>
        </w:rPr>
        <w:t xml:space="preserve"> – коэффициенты значимости факторов, сумма которых составляет в числовом выражении 1, X1...</w:t>
      </w:r>
      <w:proofErr w:type="spellStart"/>
      <w:r>
        <w:rPr>
          <w:color w:val="000000"/>
          <w:sz w:val="28"/>
          <w:szCs w:val="28"/>
        </w:rPr>
        <w:t>Xn</w:t>
      </w:r>
      <w:proofErr w:type="spellEnd"/>
      <w:r>
        <w:rPr>
          <w:color w:val="000000"/>
          <w:sz w:val="28"/>
          <w:szCs w:val="28"/>
        </w:rPr>
        <w:t xml:space="preserve"> – факторы, характеризующие участника конкурса.</w:t>
      </w:r>
    </w:p>
    <w:p w:rsidR="003000B7" w:rsidRDefault="003000B7" w:rsidP="003000B7">
      <w:pPr>
        <w:tabs>
          <w:tab w:val="left" w:pos="0"/>
        </w:tabs>
        <w:ind w:firstLine="709"/>
        <w:jc w:val="both"/>
        <w:rPr>
          <w:color w:val="000000"/>
          <w:sz w:val="28"/>
          <w:szCs w:val="28"/>
        </w:rPr>
      </w:pPr>
      <w:r>
        <w:rPr>
          <w:color w:val="000000"/>
          <w:sz w:val="28"/>
          <w:szCs w:val="28"/>
        </w:rPr>
        <w:t xml:space="preserve">В рамках показателя «Деловая репутация участника конкурса»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при вычислении индекса деловой репутации участника конкурса для определения количества баллов по показателю «Деловая репутация участника конкурса» </w:t>
      </w:r>
      <w:proofErr w:type="spellStart"/>
      <w:r>
        <w:rPr>
          <w:color w:val="000000"/>
          <w:sz w:val="28"/>
          <w:szCs w:val="28"/>
        </w:rPr>
        <w:t>нестоимостного</w:t>
      </w:r>
      <w:proofErr w:type="spellEnd"/>
      <w:r>
        <w:rPr>
          <w:color w:val="000000"/>
          <w:sz w:val="28"/>
          <w:szCs w:val="28"/>
        </w:rPr>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учитываются следующие факторы:</w:t>
      </w:r>
    </w:p>
    <w:p w:rsidR="003000B7" w:rsidRDefault="003000B7" w:rsidP="003000B7">
      <w:pPr>
        <w:tabs>
          <w:tab w:val="left" w:pos="0"/>
        </w:tabs>
        <w:ind w:firstLine="709"/>
        <w:jc w:val="both"/>
        <w:rPr>
          <w:color w:val="000000"/>
          <w:sz w:val="28"/>
          <w:szCs w:val="28"/>
        </w:rPr>
      </w:pPr>
      <w:r>
        <w:rPr>
          <w:color w:val="000000"/>
          <w:sz w:val="28"/>
          <w:szCs w:val="28"/>
        </w:rPr>
        <w:t xml:space="preserve">1) фактор «История», характеризующий продолжительность присутствия (нахождения) участника закупки на рынке по своему профилю экономической деятельности (Х1); </w:t>
      </w:r>
    </w:p>
    <w:p w:rsidR="003000B7" w:rsidRDefault="003000B7" w:rsidP="003000B7">
      <w:pPr>
        <w:tabs>
          <w:tab w:val="left" w:pos="0"/>
        </w:tabs>
        <w:ind w:firstLine="709"/>
        <w:jc w:val="both"/>
        <w:rPr>
          <w:color w:val="000000"/>
          <w:sz w:val="28"/>
          <w:szCs w:val="28"/>
        </w:rPr>
      </w:pPr>
      <w:r>
        <w:rPr>
          <w:color w:val="000000"/>
          <w:sz w:val="28"/>
          <w:szCs w:val="28"/>
        </w:rPr>
        <w:t>2) фактор «Средства», зависящий от обеспеченности участника закупки материальными ресурсами, необходимыми для поставки товара, выполнения работ, оказания услуг (Х2);</w:t>
      </w:r>
    </w:p>
    <w:p w:rsidR="003000B7" w:rsidRDefault="003000B7" w:rsidP="003000B7">
      <w:pPr>
        <w:tabs>
          <w:tab w:val="left" w:pos="0"/>
        </w:tabs>
        <w:ind w:firstLine="709"/>
        <w:jc w:val="both"/>
        <w:rPr>
          <w:color w:val="000000"/>
          <w:sz w:val="28"/>
          <w:szCs w:val="28"/>
        </w:rPr>
      </w:pPr>
      <w:r>
        <w:rPr>
          <w:color w:val="000000"/>
          <w:sz w:val="28"/>
          <w:szCs w:val="28"/>
        </w:rPr>
        <w:lastRenderedPageBreak/>
        <w:t>3) фактор «Кадры», характеризующий наличие у участника закупки квалифицированных специалистов и руководителей (Х3);</w:t>
      </w:r>
    </w:p>
    <w:p w:rsidR="003000B7" w:rsidRDefault="003000B7" w:rsidP="003000B7">
      <w:pPr>
        <w:tabs>
          <w:tab w:val="left" w:pos="0"/>
        </w:tabs>
        <w:ind w:firstLine="709"/>
        <w:jc w:val="both"/>
        <w:rPr>
          <w:color w:val="000000"/>
          <w:sz w:val="28"/>
          <w:szCs w:val="28"/>
        </w:rPr>
      </w:pPr>
      <w:r>
        <w:rPr>
          <w:color w:val="000000"/>
          <w:sz w:val="28"/>
          <w:szCs w:val="28"/>
        </w:rPr>
        <w:t xml:space="preserve">4) фактор «Имидж», характеризующий восприятие участника закупки клиентами и обществом в целом (Х4); </w:t>
      </w:r>
    </w:p>
    <w:p w:rsidR="003000B7" w:rsidRDefault="003000B7" w:rsidP="003000B7">
      <w:pPr>
        <w:tabs>
          <w:tab w:val="left" w:pos="0"/>
        </w:tabs>
        <w:ind w:firstLine="709"/>
        <w:jc w:val="both"/>
        <w:rPr>
          <w:color w:val="000000"/>
          <w:sz w:val="28"/>
          <w:szCs w:val="28"/>
        </w:rPr>
      </w:pPr>
      <w:r>
        <w:rPr>
          <w:color w:val="000000"/>
          <w:sz w:val="28"/>
          <w:szCs w:val="28"/>
        </w:rPr>
        <w:t>5) фактор «Достоверность», обеспечивающий оценку достоверности сведений, представленных участником закупки (Х5).</w:t>
      </w:r>
    </w:p>
    <w:p w:rsidR="003000B7" w:rsidRDefault="003000B7" w:rsidP="003000B7">
      <w:pPr>
        <w:tabs>
          <w:tab w:val="left" w:pos="0"/>
        </w:tabs>
        <w:ind w:firstLine="709"/>
        <w:jc w:val="both"/>
        <w:rPr>
          <w:color w:val="000000"/>
          <w:sz w:val="28"/>
          <w:szCs w:val="28"/>
        </w:rPr>
      </w:pPr>
      <w:r>
        <w:rPr>
          <w:color w:val="000000"/>
          <w:sz w:val="28"/>
          <w:szCs w:val="28"/>
        </w:rPr>
        <w:t>В рамках показателя «Деловая репутация участника конкурса»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коэффициенты значимости факторов в целях оценки заявок участников закупки определяются следующим образом: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4406"/>
        <w:gridCol w:w="3746"/>
      </w:tblGrid>
      <w:tr w:rsidR="003000B7" w:rsidTr="003000B7">
        <w:tc>
          <w:tcPr>
            <w:tcW w:w="445" w:type="pct"/>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 п/п</w:t>
            </w:r>
          </w:p>
        </w:tc>
        <w:tc>
          <w:tcPr>
            <w:tcW w:w="2454" w:type="pct"/>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Условное обозначение коэффициента значимости фактора</w:t>
            </w:r>
          </w:p>
        </w:tc>
        <w:tc>
          <w:tcPr>
            <w:tcW w:w="2101" w:type="pct"/>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Коэффициент значимости фактора</w:t>
            </w:r>
          </w:p>
        </w:tc>
      </w:tr>
      <w:tr w:rsidR="003000B7" w:rsidTr="003000B7">
        <w:trPr>
          <w:trHeight w:val="235"/>
        </w:trPr>
        <w:tc>
          <w:tcPr>
            <w:tcW w:w="445" w:type="pct"/>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1.</w:t>
            </w:r>
          </w:p>
        </w:tc>
        <w:tc>
          <w:tcPr>
            <w:tcW w:w="2454" w:type="pct"/>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D1</w:t>
            </w:r>
          </w:p>
        </w:tc>
        <w:tc>
          <w:tcPr>
            <w:tcW w:w="2101" w:type="pct"/>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0,25</w:t>
            </w:r>
          </w:p>
        </w:tc>
      </w:tr>
      <w:tr w:rsidR="003000B7" w:rsidTr="003000B7">
        <w:trPr>
          <w:trHeight w:val="235"/>
        </w:trPr>
        <w:tc>
          <w:tcPr>
            <w:tcW w:w="445" w:type="pct"/>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2.</w:t>
            </w:r>
          </w:p>
        </w:tc>
        <w:tc>
          <w:tcPr>
            <w:tcW w:w="2454" w:type="pct"/>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D2</w:t>
            </w:r>
          </w:p>
        </w:tc>
        <w:tc>
          <w:tcPr>
            <w:tcW w:w="2101" w:type="pct"/>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0,40</w:t>
            </w:r>
          </w:p>
        </w:tc>
      </w:tr>
      <w:tr w:rsidR="003000B7" w:rsidTr="003000B7">
        <w:trPr>
          <w:trHeight w:val="235"/>
        </w:trPr>
        <w:tc>
          <w:tcPr>
            <w:tcW w:w="445" w:type="pct"/>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3.</w:t>
            </w:r>
          </w:p>
        </w:tc>
        <w:tc>
          <w:tcPr>
            <w:tcW w:w="2454" w:type="pct"/>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D3</w:t>
            </w:r>
          </w:p>
        </w:tc>
        <w:tc>
          <w:tcPr>
            <w:tcW w:w="2101" w:type="pct"/>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0,10</w:t>
            </w:r>
          </w:p>
        </w:tc>
      </w:tr>
      <w:tr w:rsidR="003000B7" w:rsidTr="003000B7">
        <w:trPr>
          <w:trHeight w:val="235"/>
        </w:trPr>
        <w:tc>
          <w:tcPr>
            <w:tcW w:w="445" w:type="pct"/>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4.</w:t>
            </w:r>
          </w:p>
        </w:tc>
        <w:tc>
          <w:tcPr>
            <w:tcW w:w="2454" w:type="pct"/>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D4</w:t>
            </w:r>
          </w:p>
        </w:tc>
        <w:tc>
          <w:tcPr>
            <w:tcW w:w="2101" w:type="pct"/>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0,25</w:t>
            </w:r>
          </w:p>
        </w:tc>
      </w:tr>
    </w:tbl>
    <w:p w:rsidR="003000B7" w:rsidRDefault="003000B7" w:rsidP="003000B7">
      <w:pPr>
        <w:tabs>
          <w:tab w:val="left" w:pos="0"/>
        </w:tabs>
        <w:ind w:firstLine="709"/>
        <w:jc w:val="both"/>
        <w:rPr>
          <w:color w:val="000000"/>
          <w:sz w:val="28"/>
          <w:szCs w:val="28"/>
        </w:rPr>
      </w:pPr>
      <w:r>
        <w:rPr>
          <w:color w:val="000000"/>
          <w:sz w:val="28"/>
          <w:szCs w:val="28"/>
        </w:rPr>
        <w:t xml:space="preserve">В рамках показателя «Деловая репутация участника конкурса»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фактор «История» определяют по выражению: Х1 = Х1.1*D1.1, где Х1.1 – </w:t>
      </w:r>
      <w:proofErr w:type="spellStart"/>
      <w:r>
        <w:rPr>
          <w:color w:val="000000"/>
          <w:sz w:val="28"/>
          <w:szCs w:val="28"/>
        </w:rPr>
        <w:t>субфактор</w:t>
      </w:r>
      <w:proofErr w:type="spellEnd"/>
      <w:r>
        <w:rPr>
          <w:color w:val="000000"/>
          <w:sz w:val="28"/>
          <w:szCs w:val="28"/>
        </w:rPr>
        <w:t xml:space="preserve"> фактора «История», D1.1 – коэффициент значимости </w:t>
      </w:r>
      <w:proofErr w:type="spellStart"/>
      <w:r>
        <w:rPr>
          <w:color w:val="000000"/>
          <w:sz w:val="28"/>
          <w:szCs w:val="28"/>
        </w:rPr>
        <w:t>субфактора</w:t>
      </w:r>
      <w:proofErr w:type="spellEnd"/>
      <w:r>
        <w:rPr>
          <w:color w:val="000000"/>
          <w:sz w:val="28"/>
          <w:szCs w:val="28"/>
        </w:rPr>
        <w:t>.</w:t>
      </w:r>
    </w:p>
    <w:p w:rsidR="003000B7" w:rsidRDefault="003000B7" w:rsidP="003000B7">
      <w:pPr>
        <w:tabs>
          <w:tab w:val="left" w:pos="0"/>
        </w:tabs>
        <w:ind w:firstLine="709"/>
        <w:jc w:val="both"/>
        <w:rPr>
          <w:color w:val="000000"/>
          <w:sz w:val="28"/>
          <w:szCs w:val="28"/>
        </w:rPr>
      </w:pPr>
      <w:r>
        <w:rPr>
          <w:color w:val="000000"/>
          <w:sz w:val="28"/>
          <w:szCs w:val="28"/>
        </w:rPr>
        <w:t xml:space="preserve">В рамках показателя «Деловая репутация участника конкурса»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для оценки заявки по фактору «История» применяются следующие </w:t>
      </w:r>
      <w:proofErr w:type="spellStart"/>
      <w:r>
        <w:rPr>
          <w:color w:val="000000"/>
          <w:sz w:val="28"/>
          <w:szCs w:val="28"/>
        </w:rPr>
        <w:t>субфакторы</w:t>
      </w:r>
      <w:proofErr w:type="spellEnd"/>
      <w:r>
        <w:rPr>
          <w:color w:val="000000"/>
          <w:sz w:val="28"/>
          <w:szCs w:val="28"/>
        </w:rPr>
        <w:t xml:space="preserve">: Х1.1 – «Количество лет на рынке». </w:t>
      </w:r>
    </w:p>
    <w:p w:rsidR="003000B7" w:rsidRDefault="003000B7" w:rsidP="003000B7">
      <w:pPr>
        <w:tabs>
          <w:tab w:val="left" w:pos="0"/>
        </w:tabs>
        <w:ind w:firstLine="709"/>
        <w:jc w:val="both"/>
        <w:rPr>
          <w:color w:val="000000"/>
          <w:sz w:val="28"/>
          <w:szCs w:val="28"/>
        </w:rPr>
      </w:pPr>
      <w:r>
        <w:rPr>
          <w:color w:val="000000"/>
          <w:sz w:val="28"/>
          <w:szCs w:val="28"/>
        </w:rPr>
        <w:t xml:space="preserve">В рамках показателя «Деловая репутация участника конкурса»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w:t>
      </w:r>
      <w:r>
        <w:rPr>
          <w:color w:val="000000"/>
          <w:sz w:val="28"/>
          <w:szCs w:val="28"/>
        </w:rPr>
        <w:lastRenderedPageBreak/>
        <w:t xml:space="preserve">связанного с предметом контракта, и деловой репутации, специалистов и иных работников определенного уровня квалификации» коэффициент значимости </w:t>
      </w:r>
      <w:proofErr w:type="spellStart"/>
      <w:r>
        <w:rPr>
          <w:color w:val="000000"/>
          <w:sz w:val="28"/>
          <w:szCs w:val="28"/>
        </w:rPr>
        <w:t>субфактора</w:t>
      </w:r>
      <w:proofErr w:type="spellEnd"/>
      <w:r>
        <w:rPr>
          <w:color w:val="000000"/>
          <w:sz w:val="28"/>
          <w:szCs w:val="28"/>
        </w:rPr>
        <w:t xml:space="preserve"> «Количество лет на рынке» фактора «История» равен 1.</w:t>
      </w:r>
    </w:p>
    <w:p w:rsidR="003000B7" w:rsidRDefault="003000B7" w:rsidP="003000B7">
      <w:pPr>
        <w:tabs>
          <w:tab w:val="left" w:pos="0"/>
        </w:tabs>
        <w:ind w:firstLine="709"/>
        <w:jc w:val="both"/>
        <w:rPr>
          <w:color w:val="000000"/>
          <w:sz w:val="28"/>
          <w:szCs w:val="28"/>
        </w:rPr>
      </w:pPr>
      <w:r>
        <w:rPr>
          <w:color w:val="000000"/>
          <w:sz w:val="28"/>
          <w:szCs w:val="28"/>
        </w:rPr>
        <w:t xml:space="preserve">В рамках показателя «Деловая репутация участника конкурса»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roofErr w:type="spellStart"/>
      <w:r>
        <w:rPr>
          <w:color w:val="000000"/>
          <w:sz w:val="28"/>
          <w:szCs w:val="28"/>
        </w:rPr>
        <w:t>субфактор</w:t>
      </w:r>
      <w:proofErr w:type="spellEnd"/>
      <w:r>
        <w:rPr>
          <w:color w:val="000000"/>
          <w:sz w:val="28"/>
          <w:szCs w:val="28"/>
        </w:rPr>
        <w:t xml:space="preserve"> Х1.1 «Количество лет на рынке» фактора «История» определяется следующим образом:</w:t>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1697"/>
        <w:gridCol w:w="2115"/>
        <w:gridCol w:w="2115"/>
        <w:gridCol w:w="1615"/>
      </w:tblGrid>
      <w:tr w:rsidR="003000B7" w:rsidTr="003000B7">
        <w:tc>
          <w:tcPr>
            <w:tcW w:w="1940" w:type="pct"/>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Количество лет на рынке</w:t>
            </w:r>
          </w:p>
        </w:tc>
        <w:tc>
          <w:tcPr>
            <w:tcW w:w="829" w:type="pct"/>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Менее 2 лет</w:t>
            </w:r>
          </w:p>
        </w:tc>
        <w:tc>
          <w:tcPr>
            <w:tcW w:w="766" w:type="pct"/>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От 2 лет (включительно) до 3 лет (включительно)</w:t>
            </w:r>
          </w:p>
        </w:tc>
        <w:tc>
          <w:tcPr>
            <w:tcW w:w="694" w:type="pct"/>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От 4 лет (включительно) до 5 лет (включительно)</w:t>
            </w:r>
          </w:p>
        </w:tc>
        <w:tc>
          <w:tcPr>
            <w:tcW w:w="771" w:type="pct"/>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Более 5 лет</w:t>
            </w:r>
          </w:p>
        </w:tc>
      </w:tr>
      <w:tr w:rsidR="003000B7" w:rsidTr="003000B7">
        <w:tc>
          <w:tcPr>
            <w:tcW w:w="1940" w:type="pct"/>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 xml:space="preserve">Значение </w:t>
            </w:r>
            <w:proofErr w:type="spellStart"/>
            <w:r>
              <w:rPr>
                <w:color w:val="000000"/>
                <w:sz w:val="28"/>
                <w:szCs w:val="28"/>
                <w:lang w:eastAsia="en-US"/>
              </w:rPr>
              <w:t>субфактора</w:t>
            </w:r>
            <w:proofErr w:type="spellEnd"/>
            <w:r>
              <w:rPr>
                <w:color w:val="000000"/>
                <w:sz w:val="28"/>
                <w:szCs w:val="28"/>
                <w:lang w:eastAsia="en-US"/>
              </w:rPr>
              <w:t xml:space="preserve"> Х1.1 в баллах</w:t>
            </w:r>
          </w:p>
        </w:tc>
        <w:tc>
          <w:tcPr>
            <w:tcW w:w="829" w:type="pct"/>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0</w:t>
            </w:r>
          </w:p>
        </w:tc>
        <w:tc>
          <w:tcPr>
            <w:tcW w:w="766" w:type="pct"/>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20</w:t>
            </w:r>
          </w:p>
        </w:tc>
        <w:tc>
          <w:tcPr>
            <w:tcW w:w="694" w:type="pct"/>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60</w:t>
            </w:r>
          </w:p>
        </w:tc>
        <w:tc>
          <w:tcPr>
            <w:tcW w:w="771" w:type="pct"/>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100</w:t>
            </w:r>
          </w:p>
        </w:tc>
      </w:tr>
    </w:tbl>
    <w:p w:rsidR="003000B7" w:rsidRDefault="003000B7" w:rsidP="003000B7">
      <w:pPr>
        <w:tabs>
          <w:tab w:val="left" w:pos="0"/>
        </w:tabs>
        <w:ind w:firstLine="709"/>
        <w:jc w:val="both"/>
        <w:rPr>
          <w:color w:val="000000"/>
          <w:sz w:val="28"/>
          <w:szCs w:val="28"/>
        </w:rPr>
      </w:pPr>
      <w:r>
        <w:rPr>
          <w:color w:val="000000"/>
          <w:sz w:val="28"/>
          <w:szCs w:val="28"/>
        </w:rPr>
        <w:t xml:space="preserve">В рамках показателя «Деловая репутация участника конкурса»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по </w:t>
      </w:r>
      <w:proofErr w:type="spellStart"/>
      <w:r>
        <w:rPr>
          <w:color w:val="000000"/>
          <w:sz w:val="28"/>
          <w:szCs w:val="28"/>
        </w:rPr>
        <w:t>субфактору</w:t>
      </w:r>
      <w:proofErr w:type="spellEnd"/>
      <w:r>
        <w:rPr>
          <w:color w:val="000000"/>
          <w:sz w:val="28"/>
          <w:szCs w:val="28"/>
        </w:rPr>
        <w:t xml:space="preserve"> «Количество лет на рынке» фактора «История» для подтверждения количества лет на рынке участнику закупки необходимо предоставить копии следующих документов: свидетельства о присвоении основного государственного регистрационного номера и свидетельства о присвоении идентификационного налогового номера, или лист записи единого государственного реестра юридических лиц/индивидуальных предпринимателей; не менее одного контракта (договора), аналогичного объекту закупки настоящего конкурса, заключенного за каждый прошедший календарный год беспрерывной работы и документов, подтверждающих полное исполнение представленных контрактов (договоров), если иное  не предусмотрено настоящим пунктом конкурсной документации.</w:t>
      </w:r>
    </w:p>
    <w:p w:rsidR="003000B7" w:rsidRDefault="003000B7" w:rsidP="003000B7">
      <w:pPr>
        <w:tabs>
          <w:tab w:val="left" w:pos="0"/>
        </w:tabs>
        <w:ind w:firstLine="709"/>
        <w:jc w:val="both"/>
        <w:rPr>
          <w:color w:val="000000"/>
          <w:sz w:val="28"/>
          <w:szCs w:val="28"/>
        </w:rPr>
      </w:pPr>
      <w:r>
        <w:rPr>
          <w:color w:val="000000"/>
          <w:sz w:val="28"/>
          <w:szCs w:val="28"/>
        </w:rPr>
        <w:t xml:space="preserve">В рамках показателя «Деловая репутация участника конкурса»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по </w:t>
      </w:r>
      <w:proofErr w:type="spellStart"/>
      <w:r>
        <w:rPr>
          <w:color w:val="000000"/>
          <w:sz w:val="28"/>
          <w:szCs w:val="28"/>
        </w:rPr>
        <w:t>субфактору</w:t>
      </w:r>
      <w:proofErr w:type="spellEnd"/>
      <w:r>
        <w:rPr>
          <w:color w:val="000000"/>
          <w:sz w:val="28"/>
          <w:szCs w:val="28"/>
        </w:rPr>
        <w:t xml:space="preserve"> </w:t>
      </w:r>
      <w:r>
        <w:rPr>
          <w:color w:val="000000"/>
          <w:sz w:val="28"/>
          <w:szCs w:val="28"/>
        </w:rPr>
        <w:lastRenderedPageBreak/>
        <w:t>«Количество лет на рынке» фактора «История» под контрактом (договором) аналогичному объекту закупки настоящего конкурса понимается контракт (договор) на поставку продуктов питания, заключённый на срок не менее, чем сто восемьдесят календарных дней, сведения о котором содержатся в реестре контрактов, заключенных Заказчиками, в единой информационной системе в сфере закупок (далее – ЕИС).</w:t>
      </w:r>
    </w:p>
    <w:p w:rsidR="003000B7" w:rsidRDefault="003000B7" w:rsidP="003000B7">
      <w:pPr>
        <w:tabs>
          <w:tab w:val="left" w:pos="0"/>
        </w:tabs>
        <w:ind w:firstLine="709"/>
        <w:jc w:val="both"/>
        <w:rPr>
          <w:color w:val="000000"/>
          <w:sz w:val="28"/>
          <w:szCs w:val="28"/>
        </w:rPr>
      </w:pPr>
      <w:r>
        <w:rPr>
          <w:color w:val="000000"/>
          <w:sz w:val="28"/>
          <w:szCs w:val="28"/>
        </w:rPr>
        <w:t>В случае, если в рамках показателя «Деловая репутация участника конкурса»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участник закупки предоставляет в составе заявки копии документов, подтверждающих наличие у участника закупки ранее исполненных контрактов (договоров), то в составе второй части заявки на участие в конкурсе также необходимо предоставить реестр исполненных контрактов (договоров), который в обязательном порядке должен содержать следующую информацию: сведения о номерах, датах заключения и предметах контрактов (договоров), а также следующую информацию о таких контрактах (договорах): сведения о наименованиях заказчиков и их идентификационных номерах налогоплательщиков; сведения о наименовании исполнителя (с учетом правопреемственности); сведения о ценах контрактов (договоров) в российских рублях; сведения о сроках исполнения контрактов (договоров); сведения о номерах записей исполненных контрактов (договоров) из реестра контрактов (при наличии). Реестр исполненных контрактов (договоров) может быть оформлен в виде таблицы, содержащей все сведения в соответствии с настоящим пунктом общей части конкурсной документации. При этом, если копии ранее исполненных контрактов (договоров) необходимо предоставить для начисления баллов по разным шкалам оценки, то необходимо предоставить реестр исполненных контрактов (договоров) для каждой шкалы оценки отдельно.</w:t>
      </w:r>
    </w:p>
    <w:p w:rsidR="003000B7" w:rsidRDefault="003000B7" w:rsidP="003000B7">
      <w:pPr>
        <w:tabs>
          <w:tab w:val="left" w:pos="0"/>
        </w:tabs>
        <w:ind w:firstLine="709"/>
        <w:jc w:val="both"/>
        <w:rPr>
          <w:color w:val="000000"/>
          <w:sz w:val="28"/>
          <w:szCs w:val="28"/>
        </w:rPr>
      </w:pPr>
      <w:r>
        <w:rPr>
          <w:color w:val="000000"/>
          <w:sz w:val="28"/>
          <w:szCs w:val="28"/>
        </w:rPr>
        <w:t>В рамках показателя «Деловая репутация участника конкурса»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по фактору, характеризующему продолжительность присутствия (нахождения) участника закупки на рынке по своему профилю экономической деятельности под беспрерывной работой понимается заключение и исполнение контрактов аналогичных объекту закупки настоящего конкурса каждый календарный год, включая текущий календарный год.</w:t>
      </w:r>
    </w:p>
    <w:p w:rsidR="003000B7" w:rsidRDefault="003000B7" w:rsidP="003000B7">
      <w:pPr>
        <w:tabs>
          <w:tab w:val="left" w:pos="0"/>
        </w:tabs>
        <w:ind w:firstLine="709"/>
        <w:jc w:val="both"/>
        <w:rPr>
          <w:color w:val="000000"/>
          <w:sz w:val="28"/>
          <w:szCs w:val="28"/>
        </w:rPr>
      </w:pPr>
      <w:r>
        <w:rPr>
          <w:color w:val="000000"/>
          <w:sz w:val="28"/>
          <w:szCs w:val="28"/>
        </w:rPr>
        <w:lastRenderedPageBreak/>
        <w:t xml:space="preserve">В рамках показателя «Деловая репутация участника конкурса»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фактор «Средства» определяют по выражению: Х2 = Х2.1*D2.1, где Х2.1 – </w:t>
      </w:r>
      <w:proofErr w:type="spellStart"/>
      <w:r>
        <w:rPr>
          <w:color w:val="000000"/>
          <w:sz w:val="28"/>
          <w:szCs w:val="28"/>
        </w:rPr>
        <w:t>субфактор</w:t>
      </w:r>
      <w:proofErr w:type="spellEnd"/>
      <w:r>
        <w:rPr>
          <w:color w:val="000000"/>
          <w:sz w:val="28"/>
          <w:szCs w:val="28"/>
        </w:rPr>
        <w:t xml:space="preserve"> фактора «Средства», D2.1 – коэффициент значимости </w:t>
      </w:r>
      <w:proofErr w:type="spellStart"/>
      <w:r>
        <w:rPr>
          <w:color w:val="000000"/>
          <w:sz w:val="28"/>
          <w:szCs w:val="28"/>
        </w:rPr>
        <w:t>субфактора</w:t>
      </w:r>
      <w:proofErr w:type="spellEnd"/>
      <w:r>
        <w:rPr>
          <w:color w:val="000000"/>
          <w:sz w:val="28"/>
          <w:szCs w:val="28"/>
        </w:rPr>
        <w:t>.</w:t>
      </w:r>
    </w:p>
    <w:p w:rsidR="003000B7" w:rsidRDefault="003000B7" w:rsidP="003000B7">
      <w:pPr>
        <w:tabs>
          <w:tab w:val="left" w:pos="0"/>
        </w:tabs>
        <w:ind w:firstLine="709"/>
        <w:jc w:val="both"/>
        <w:rPr>
          <w:color w:val="000000"/>
          <w:sz w:val="28"/>
          <w:szCs w:val="28"/>
        </w:rPr>
      </w:pPr>
      <w:r>
        <w:rPr>
          <w:color w:val="000000"/>
          <w:sz w:val="28"/>
          <w:szCs w:val="28"/>
        </w:rPr>
        <w:t xml:space="preserve">В рамках показателя «Деловая репутация участника конкурса»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для оценки заявки по фактору «Средства» применяются следующие </w:t>
      </w:r>
      <w:proofErr w:type="spellStart"/>
      <w:r>
        <w:rPr>
          <w:color w:val="000000"/>
          <w:sz w:val="28"/>
          <w:szCs w:val="28"/>
        </w:rPr>
        <w:t>субфакторы</w:t>
      </w:r>
      <w:proofErr w:type="spellEnd"/>
      <w:r>
        <w:rPr>
          <w:color w:val="000000"/>
          <w:sz w:val="28"/>
          <w:szCs w:val="28"/>
        </w:rPr>
        <w:t xml:space="preserve">: Х2.1 – «Обеспеченность материально-техническими ресурсами». </w:t>
      </w:r>
    </w:p>
    <w:p w:rsidR="003000B7" w:rsidRDefault="003000B7" w:rsidP="003000B7">
      <w:pPr>
        <w:tabs>
          <w:tab w:val="left" w:pos="0"/>
        </w:tabs>
        <w:ind w:firstLine="709"/>
        <w:jc w:val="both"/>
        <w:rPr>
          <w:color w:val="000000"/>
          <w:sz w:val="28"/>
          <w:szCs w:val="28"/>
        </w:rPr>
      </w:pPr>
      <w:r>
        <w:rPr>
          <w:color w:val="000000"/>
          <w:sz w:val="28"/>
          <w:szCs w:val="28"/>
        </w:rPr>
        <w:t xml:space="preserve">В рамках показателя «Деловая репутация участника конкурса»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коэффициент значимости </w:t>
      </w:r>
      <w:proofErr w:type="spellStart"/>
      <w:r>
        <w:rPr>
          <w:color w:val="000000"/>
          <w:sz w:val="28"/>
          <w:szCs w:val="28"/>
        </w:rPr>
        <w:t>субфактора</w:t>
      </w:r>
      <w:proofErr w:type="spellEnd"/>
      <w:r>
        <w:rPr>
          <w:color w:val="000000"/>
          <w:sz w:val="28"/>
          <w:szCs w:val="28"/>
        </w:rPr>
        <w:t xml:space="preserve"> «Обеспеченность материально-техническими ресурсами» фактора «Средства» равен 1.</w:t>
      </w:r>
    </w:p>
    <w:p w:rsidR="003000B7" w:rsidRDefault="003000B7" w:rsidP="003000B7">
      <w:pPr>
        <w:tabs>
          <w:tab w:val="left" w:pos="0"/>
        </w:tabs>
        <w:ind w:firstLine="709"/>
        <w:jc w:val="both"/>
        <w:rPr>
          <w:color w:val="000000"/>
          <w:sz w:val="28"/>
          <w:szCs w:val="28"/>
        </w:rPr>
      </w:pPr>
      <w:r>
        <w:rPr>
          <w:color w:val="000000"/>
          <w:sz w:val="28"/>
          <w:szCs w:val="28"/>
        </w:rPr>
        <w:t xml:space="preserve">В рамках показателя «Деловая репутация участника конкурса»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roofErr w:type="spellStart"/>
      <w:r>
        <w:rPr>
          <w:color w:val="000000"/>
          <w:sz w:val="28"/>
          <w:szCs w:val="28"/>
        </w:rPr>
        <w:t>субфактор</w:t>
      </w:r>
      <w:proofErr w:type="spellEnd"/>
      <w:r>
        <w:rPr>
          <w:color w:val="000000"/>
          <w:sz w:val="28"/>
          <w:szCs w:val="28"/>
        </w:rPr>
        <w:t xml:space="preserve"> Х2.1 «Обеспеченность материально-техническими ресурсами» фактора «Средства» определяется следующим образом:</w:t>
      </w:r>
    </w:p>
    <w:p w:rsidR="003000B7" w:rsidRDefault="003000B7" w:rsidP="003000B7">
      <w:pPr>
        <w:tabs>
          <w:tab w:val="left" w:pos="0"/>
        </w:tabs>
        <w:ind w:firstLine="709"/>
        <w:jc w:val="both"/>
        <w:rPr>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2590"/>
        <w:gridCol w:w="2363"/>
        <w:gridCol w:w="2363"/>
      </w:tblGrid>
      <w:tr w:rsidR="003000B7" w:rsidTr="003000B7">
        <w:tc>
          <w:tcPr>
            <w:tcW w:w="945" w:type="pct"/>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Уровень шкалы оценки</w:t>
            </w:r>
          </w:p>
        </w:tc>
        <w:tc>
          <w:tcPr>
            <w:tcW w:w="1433" w:type="pct"/>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3 уровень - Отсутствие материально-технической базы</w:t>
            </w:r>
          </w:p>
        </w:tc>
        <w:tc>
          <w:tcPr>
            <w:tcW w:w="1311" w:type="pct"/>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2 уровень - Наличие материально-технической базы тип 2</w:t>
            </w:r>
          </w:p>
        </w:tc>
        <w:tc>
          <w:tcPr>
            <w:tcW w:w="1311" w:type="pct"/>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1 уровень - Наличие материально-технической базы тип 1</w:t>
            </w:r>
          </w:p>
        </w:tc>
      </w:tr>
      <w:tr w:rsidR="003000B7" w:rsidTr="003000B7">
        <w:tc>
          <w:tcPr>
            <w:tcW w:w="945" w:type="pct"/>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 xml:space="preserve">Значение </w:t>
            </w:r>
            <w:proofErr w:type="spellStart"/>
            <w:r>
              <w:rPr>
                <w:color w:val="000000"/>
                <w:sz w:val="28"/>
                <w:szCs w:val="28"/>
                <w:lang w:eastAsia="en-US"/>
              </w:rPr>
              <w:t>субфактора</w:t>
            </w:r>
            <w:proofErr w:type="spellEnd"/>
            <w:r>
              <w:rPr>
                <w:color w:val="000000"/>
                <w:sz w:val="28"/>
                <w:szCs w:val="28"/>
                <w:lang w:eastAsia="en-US"/>
              </w:rPr>
              <w:t xml:space="preserve"> Х2.1 в баллах</w:t>
            </w:r>
          </w:p>
        </w:tc>
        <w:tc>
          <w:tcPr>
            <w:tcW w:w="1433" w:type="pct"/>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0</w:t>
            </w:r>
          </w:p>
        </w:tc>
        <w:tc>
          <w:tcPr>
            <w:tcW w:w="1311" w:type="pct"/>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50</w:t>
            </w:r>
          </w:p>
        </w:tc>
        <w:tc>
          <w:tcPr>
            <w:tcW w:w="1311" w:type="pct"/>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100</w:t>
            </w:r>
          </w:p>
        </w:tc>
      </w:tr>
    </w:tbl>
    <w:p w:rsidR="003000B7" w:rsidRDefault="003000B7" w:rsidP="003000B7">
      <w:pPr>
        <w:tabs>
          <w:tab w:val="left" w:pos="0"/>
        </w:tabs>
        <w:ind w:firstLine="709"/>
        <w:jc w:val="both"/>
        <w:rPr>
          <w:color w:val="000000"/>
          <w:sz w:val="28"/>
          <w:szCs w:val="28"/>
        </w:rPr>
      </w:pPr>
    </w:p>
    <w:p w:rsidR="003000B7" w:rsidRDefault="003000B7" w:rsidP="003000B7">
      <w:pPr>
        <w:tabs>
          <w:tab w:val="left" w:pos="0"/>
        </w:tabs>
        <w:ind w:firstLine="709"/>
        <w:jc w:val="both"/>
        <w:rPr>
          <w:color w:val="000000"/>
          <w:sz w:val="28"/>
          <w:szCs w:val="28"/>
        </w:rPr>
      </w:pPr>
      <w:r>
        <w:rPr>
          <w:color w:val="000000"/>
          <w:sz w:val="28"/>
          <w:szCs w:val="28"/>
        </w:rPr>
        <w:t xml:space="preserve">В рамках показателя «Деловая репутация участника конкурса»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по </w:t>
      </w:r>
      <w:proofErr w:type="spellStart"/>
      <w:r>
        <w:rPr>
          <w:color w:val="000000"/>
          <w:sz w:val="28"/>
          <w:szCs w:val="28"/>
        </w:rPr>
        <w:t>субфактору</w:t>
      </w:r>
      <w:proofErr w:type="spellEnd"/>
      <w:r>
        <w:rPr>
          <w:color w:val="000000"/>
          <w:sz w:val="28"/>
          <w:szCs w:val="28"/>
        </w:rPr>
        <w:t xml:space="preserve"> «Обеспеченность материально-техническими ресурсами» фактора «Средства» под материально-технической базой тип 1 подразумевается наличие у участника закупки в собственности или на правах аренды (лизинга) следующих материально-технических ресурсов: складского (-их) помещения (-</w:t>
      </w:r>
      <w:proofErr w:type="spellStart"/>
      <w:r>
        <w:rPr>
          <w:color w:val="000000"/>
          <w:sz w:val="28"/>
          <w:szCs w:val="28"/>
        </w:rPr>
        <w:t>ий</w:t>
      </w:r>
      <w:proofErr w:type="spellEnd"/>
      <w:r>
        <w:rPr>
          <w:color w:val="000000"/>
          <w:sz w:val="28"/>
          <w:szCs w:val="28"/>
        </w:rPr>
        <w:t xml:space="preserve">), предназначенного (-ых) для хранения продуктов питания, площадью не менее девятисот метров квадратных; холодильного оборудования (в случае наличия в рамках объекта закупки товаров, необходимых </w:t>
      </w:r>
      <w:r>
        <w:rPr>
          <w:color w:val="000000"/>
          <w:sz w:val="28"/>
          <w:szCs w:val="28"/>
        </w:rPr>
        <w:br/>
        <w:t xml:space="preserve">к хранению в холодильном оборудовании) в составе: не менее трех холодильных камер (шкафов морозильных), позволяющих осуществлять хранение замороженной рыбы, мяса, куры (если объектом закупки являются в том числе замороженная рыба и/или мясо, и/или кура), не менее трех холодильных камер (шкафов холодильных), позволяющих осуществлять хранение иных продуктов питания, являющихся объектом закупки; транспортных средств, предназначенных для транспортировки продуктов питания, в составе: не менее трех транспортных средств, позволяющих осуществлять транспортировку замороженной рыбы, мяса, куры (если объектом закупки являются в том числе замороженная рыба и/или мясо, и/или кура),  не менее десяти транспортных средств, позволяющих осуществлять транспортировку продуктов всех иных продуктов питания, являющихся объектом настоящей закупки, среди которых не менее трех транспортных средств являются изотермическими транспортными средствами; </w:t>
      </w:r>
      <w:proofErr w:type="spellStart"/>
      <w:r>
        <w:rPr>
          <w:color w:val="000000"/>
          <w:sz w:val="28"/>
          <w:szCs w:val="28"/>
        </w:rPr>
        <w:t>весоизмерительного</w:t>
      </w:r>
      <w:proofErr w:type="spellEnd"/>
      <w:r>
        <w:rPr>
          <w:color w:val="000000"/>
          <w:sz w:val="28"/>
          <w:szCs w:val="28"/>
        </w:rPr>
        <w:t xml:space="preserve"> оборудования в составе: грузоподъемностью  до 2000 кг в количестве не менее 1 шт., грузоподъемностью до 150 кг в количестве не менее  3 шт.,  грузоподъемностью до 50 кг в количестве не менее 3 шт.; грузоподъемностью до 15 кг.  в количестве не менее 1 шт.</w:t>
      </w:r>
    </w:p>
    <w:p w:rsidR="003000B7" w:rsidRDefault="003000B7" w:rsidP="003000B7">
      <w:pPr>
        <w:tabs>
          <w:tab w:val="left" w:pos="0"/>
        </w:tabs>
        <w:ind w:firstLine="709"/>
        <w:jc w:val="both"/>
        <w:rPr>
          <w:color w:val="000000"/>
          <w:sz w:val="28"/>
          <w:szCs w:val="28"/>
        </w:rPr>
      </w:pPr>
      <w:r>
        <w:rPr>
          <w:color w:val="000000"/>
          <w:sz w:val="28"/>
          <w:szCs w:val="28"/>
        </w:rPr>
        <w:t xml:space="preserve">В рамках показателя «Деловая репутация участника конкурса»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по </w:t>
      </w:r>
      <w:proofErr w:type="spellStart"/>
      <w:r>
        <w:rPr>
          <w:color w:val="000000"/>
          <w:sz w:val="28"/>
          <w:szCs w:val="28"/>
        </w:rPr>
        <w:t>субфактору</w:t>
      </w:r>
      <w:proofErr w:type="spellEnd"/>
      <w:r>
        <w:rPr>
          <w:color w:val="000000"/>
          <w:sz w:val="28"/>
          <w:szCs w:val="28"/>
        </w:rPr>
        <w:t xml:space="preserve"> «Обеспеченность материально-техническими ресурсами» фактора «Средства» под материально-технической базой  тип 2 подразумевается наличие у участника закупки в собственности или на правах аренды (лизинга) следующих материально-технических ресурсов: складского (-их) помещения </w:t>
      </w:r>
      <w:r>
        <w:rPr>
          <w:color w:val="000000"/>
          <w:sz w:val="28"/>
          <w:szCs w:val="28"/>
        </w:rPr>
        <w:lastRenderedPageBreak/>
        <w:t>(-</w:t>
      </w:r>
      <w:proofErr w:type="spellStart"/>
      <w:r>
        <w:rPr>
          <w:color w:val="000000"/>
          <w:sz w:val="28"/>
          <w:szCs w:val="28"/>
        </w:rPr>
        <w:t>ий</w:t>
      </w:r>
      <w:proofErr w:type="spellEnd"/>
      <w:r>
        <w:rPr>
          <w:color w:val="000000"/>
          <w:sz w:val="28"/>
          <w:szCs w:val="28"/>
        </w:rPr>
        <w:t xml:space="preserve">), предназначенного (-ых) для хранения продуктов питания, площадью не менее пятисот метров квадратных; холодильного оборудования (в случае наличия в рамках объекта закупки товаров, необходимых к хранению  в холодильном оборудовании) в составе: не менее двух холодильных камер (шкафов морозильных), позволяющих осуществлять хранение замороженной рыбы, мяса, куры (если объектом закупки являются в том числе замороженная рыба и/или мясо, и/или кура), не менее двух холодильных камер (шкафов холодильных), позволяющих осуществлять хранение иных продуктов питания, являющихся объектом закупки; транспортных средств, предназначенных для транспортировки продуктов питания, в составе: не менее двух транспортных средств, позволяющих осуществлять транспортировку замороженной рыбы, мяса, куры (если объектом закупки являются в том числе замороженная рыба и/или мясо, и/или кура),  не менее восьми транспортных средств, позволяющих осуществлять транспортировку продуктов всех иных продуктов питания, являющихся объектом настоящей закупки, среди которых не менее двух транспортных средств являются изотермическими транспортными средствами; </w:t>
      </w:r>
      <w:proofErr w:type="spellStart"/>
      <w:r>
        <w:rPr>
          <w:color w:val="000000"/>
          <w:sz w:val="28"/>
          <w:szCs w:val="28"/>
        </w:rPr>
        <w:t>весоизмерительного</w:t>
      </w:r>
      <w:proofErr w:type="spellEnd"/>
      <w:r>
        <w:rPr>
          <w:color w:val="000000"/>
          <w:sz w:val="28"/>
          <w:szCs w:val="28"/>
        </w:rPr>
        <w:t xml:space="preserve"> оборудования в составе: грузоподъемностью до 1000 кг в количестве не менее 1 шт., грузоподъемностью до 150 кг в количестве не менее 2 шт.,  грузоподъемностью до 50 кг в количестве не менее 2 шт.</w:t>
      </w:r>
    </w:p>
    <w:p w:rsidR="003000B7" w:rsidRDefault="003000B7" w:rsidP="003000B7">
      <w:pPr>
        <w:tabs>
          <w:tab w:val="left" w:pos="0"/>
        </w:tabs>
        <w:ind w:firstLine="709"/>
        <w:jc w:val="both"/>
        <w:rPr>
          <w:color w:val="000000"/>
          <w:sz w:val="28"/>
          <w:szCs w:val="28"/>
        </w:rPr>
      </w:pPr>
      <w:r>
        <w:rPr>
          <w:color w:val="000000"/>
          <w:sz w:val="28"/>
          <w:szCs w:val="28"/>
        </w:rPr>
        <w:t xml:space="preserve">В рамках показателя «Деловая репутация участника конкурса»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по </w:t>
      </w:r>
      <w:proofErr w:type="spellStart"/>
      <w:r>
        <w:rPr>
          <w:color w:val="000000"/>
          <w:sz w:val="28"/>
          <w:szCs w:val="28"/>
        </w:rPr>
        <w:t>субфактору</w:t>
      </w:r>
      <w:proofErr w:type="spellEnd"/>
      <w:r>
        <w:rPr>
          <w:color w:val="000000"/>
          <w:sz w:val="28"/>
          <w:szCs w:val="28"/>
        </w:rPr>
        <w:t xml:space="preserve"> «Обеспеченность материально-техническими ресурсами» фактора «Средства» отсутствием материально-технической базы является представление участником закупки сведений и/или документов о наличии материально-технических ресурсов, не соответствующих требованиям материально-технической базы тип 1 или тип 2, либо </w:t>
      </w:r>
      <w:r>
        <w:rPr>
          <w:color w:val="000000"/>
          <w:sz w:val="28"/>
          <w:szCs w:val="28"/>
        </w:rPr>
        <w:br/>
        <w:t>не представление сведений и/или документов в соответствии с требованиями настоящей конкурсной документации.</w:t>
      </w:r>
    </w:p>
    <w:p w:rsidR="003000B7" w:rsidRDefault="003000B7" w:rsidP="003000B7">
      <w:pPr>
        <w:tabs>
          <w:tab w:val="left" w:pos="0"/>
        </w:tabs>
        <w:ind w:firstLine="709"/>
        <w:jc w:val="both"/>
        <w:rPr>
          <w:color w:val="000000"/>
          <w:sz w:val="28"/>
          <w:szCs w:val="28"/>
        </w:rPr>
      </w:pPr>
      <w:r>
        <w:rPr>
          <w:color w:val="000000"/>
          <w:sz w:val="28"/>
          <w:szCs w:val="28"/>
        </w:rPr>
        <w:t xml:space="preserve">В рамках показателя «Деловая репутация участника конкурса»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по </w:t>
      </w:r>
      <w:proofErr w:type="spellStart"/>
      <w:r>
        <w:rPr>
          <w:color w:val="000000"/>
          <w:sz w:val="28"/>
          <w:szCs w:val="28"/>
        </w:rPr>
        <w:t>субфактору</w:t>
      </w:r>
      <w:proofErr w:type="spellEnd"/>
      <w:r>
        <w:rPr>
          <w:color w:val="000000"/>
          <w:sz w:val="28"/>
          <w:szCs w:val="28"/>
        </w:rPr>
        <w:t xml:space="preserve"> «Обеспеченность материально-техническими ресурсами» фактора «Средства» для подтверждения наличия транспортного средства участнику закупки необходимо предоставить копии следующих документов: паспорта </w:t>
      </w:r>
      <w:r>
        <w:rPr>
          <w:color w:val="000000"/>
          <w:sz w:val="28"/>
          <w:szCs w:val="28"/>
        </w:rPr>
        <w:lastRenderedPageBreak/>
        <w:t>транспортного средства, свидетельства о регистрации транспортного средства, договора(-</w:t>
      </w:r>
      <w:proofErr w:type="spellStart"/>
      <w:r>
        <w:rPr>
          <w:color w:val="000000"/>
          <w:sz w:val="28"/>
          <w:szCs w:val="28"/>
        </w:rPr>
        <w:t>ов</w:t>
      </w:r>
      <w:proofErr w:type="spellEnd"/>
      <w:r>
        <w:rPr>
          <w:color w:val="000000"/>
          <w:sz w:val="28"/>
          <w:szCs w:val="28"/>
        </w:rPr>
        <w:t>) на проведение дезинфекции и дезинсекции транспортного (-ых) средства (-в).</w:t>
      </w:r>
    </w:p>
    <w:p w:rsidR="003000B7" w:rsidRDefault="003000B7" w:rsidP="003000B7">
      <w:pPr>
        <w:tabs>
          <w:tab w:val="left" w:pos="0"/>
        </w:tabs>
        <w:ind w:firstLine="709"/>
        <w:jc w:val="both"/>
        <w:rPr>
          <w:color w:val="000000"/>
          <w:sz w:val="28"/>
          <w:szCs w:val="28"/>
        </w:rPr>
      </w:pPr>
      <w:r>
        <w:rPr>
          <w:color w:val="000000"/>
          <w:sz w:val="28"/>
          <w:szCs w:val="28"/>
        </w:rPr>
        <w:t xml:space="preserve">В рамках показателя «Деловая репутация участника конкурса»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по </w:t>
      </w:r>
      <w:proofErr w:type="spellStart"/>
      <w:r>
        <w:rPr>
          <w:color w:val="000000"/>
          <w:sz w:val="28"/>
          <w:szCs w:val="28"/>
        </w:rPr>
        <w:t>субфактору</w:t>
      </w:r>
      <w:proofErr w:type="spellEnd"/>
      <w:r>
        <w:rPr>
          <w:color w:val="000000"/>
          <w:sz w:val="28"/>
          <w:szCs w:val="28"/>
        </w:rPr>
        <w:t xml:space="preserve"> «Обеспеченность материально-техническими ресурсами» фактора «Средства» для подтверждения наличия в аренде (лизинге) транспортных средств, холодильного оборудования, </w:t>
      </w:r>
      <w:proofErr w:type="spellStart"/>
      <w:r>
        <w:rPr>
          <w:color w:val="000000"/>
          <w:sz w:val="28"/>
          <w:szCs w:val="28"/>
        </w:rPr>
        <w:t>весоизмерительного</w:t>
      </w:r>
      <w:proofErr w:type="spellEnd"/>
      <w:r>
        <w:rPr>
          <w:color w:val="000000"/>
          <w:sz w:val="28"/>
          <w:szCs w:val="28"/>
        </w:rPr>
        <w:t xml:space="preserve"> оборудования участнику закупки также необходимо предоставить копии договора(-</w:t>
      </w:r>
      <w:proofErr w:type="spellStart"/>
      <w:r>
        <w:rPr>
          <w:color w:val="000000"/>
          <w:sz w:val="28"/>
          <w:szCs w:val="28"/>
        </w:rPr>
        <w:t>ов</w:t>
      </w:r>
      <w:proofErr w:type="spellEnd"/>
      <w:r>
        <w:rPr>
          <w:color w:val="000000"/>
          <w:sz w:val="28"/>
          <w:szCs w:val="28"/>
        </w:rPr>
        <w:t>) аренды (лизинга) соответствующего(-их) материально-технического(-их) ресурса(-</w:t>
      </w:r>
      <w:proofErr w:type="spellStart"/>
      <w:r>
        <w:rPr>
          <w:color w:val="000000"/>
          <w:sz w:val="28"/>
          <w:szCs w:val="28"/>
        </w:rPr>
        <w:t>ов</w:t>
      </w:r>
      <w:proofErr w:type="spellEnd"/>
      <w:r>
        <w:rPr>
          <w:color w:val="000000"/>
          <w:sz w:val="28"/>
          <w:szCs w:val="28"/>
        </w:rPr>
        <w:t>), срок действие которого(-ых) покрывает весь срока исполнения контракта, на право заключения которого проводится настоящий конкурс, с приложением акта приема-передачи соответствующего(-их) материально-технического(-их) ресурса(-</w:t>
      </w:r>
      <w:proofErr w:type="spellStart"/>
      <w:r>
        <w:rPr>
          <w:color w:val="000000"/>
          <w:sz w:val="28"/>
          <w:szCs w:val="28"/>
        </w:rPr>
        <w:t>ов</w:t>
      </w:r>
      <w:proofErr w:type="spellEnd"/>
      <w:r>
        <w:rPr>
          <w:color w:val="000000"/>
          <w:sz w:val="28"/>
          <w:szCs w:val="28"/>
        </w:rPr>
        <w:t>) от арендодателя участнику закупки (арендатору), содержащим сведения, позволяющие определенно установить имущество, переданное арендатору в качестве объекта аренды (лизинга).</w:t>
      </w:r>
    </w:p>
    <w:p w:rsidR="003000B7" w:rsidRDefault="003000B7" w:rsidP="003000B7">
      <w:pPr>
        <w:tabs>
          <w:tab w:val="left" w:pos="0"/>
        </w:tabs>
        <w:ind w:firstLine="709"/>
        <w:jc w:val="both"/>
        <w:rPr>
          <w:color w:val="000000"/>
          <w:sz w:val="28"/>
          <w:szCs w:val="28"/>
        </w:rPr>
      </w:pPr>
      <w:r>
        <w:rPr>
          <w:color w:val="000000"/>
          <w:sz w:val="28"/>
          <w:szCs w:val="28"/>
        </w:rPr>
        <w:t xml:space="preserve">В рамках показателя «Деловая репутация участника конкурса»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по </w:t>
      </w:r>
      <w:proofErr w:type="spellStart"/>
      <w:r>
        <w:rPr>
          <w:color w:val="000000"/>
          <w:sz w:val="28"/>
          <w:szCs w:val="28"/>
        </w:rPr>
        <w:t>субфактору</w:t>
      </w:r>
      <w:proofErr w:type="spellEnd"/>
      <w:r>
        <w:rPr>
          <w:color w:val="000000"/>
          <w:sz w:val="28"/>
          <w:szCs w:val="28"/>
        </w:rPr>
        <w:t xml:space="preserve"> «Обеспеченность материально-техническими ресурсами» фактора «Средства» для подтверждения наличия в собственности транспортных средств, холодильного оборудования, </w:t>
      </w:r>
      <w:proofErr w:type="spellStart"/>
      <w:r>
        <w:rPr>
          <w:color w:val="000000"/>
          <w:sz w:val="28"/>
          <w:szCs w:val="28"/>
        </w:rPr>
        <w:t>весоизмерительного</w:t>
      </w:r>
      <w:proofErr w:type="spellEnd"/>
      <w:r>
        <w:rPr>
          <w:color w:val="000000"/>
          <w:sz w:val="28"/>
          <w:szCs w:val="28"/>
        </w:rPr>
        <w:t xml:space="preserve"> оборудования участнику закупки, являющемуся юридическим лицом, также необходимо предоставить копии инвентарных карточек учета объектов основных средств унифицированной формы ОС-6.</w:t>
      </w:r>
    </w:p>
    <w:p w:rsidR="003000B7" w:rsidRDefault="003000B7" w:rsidP="003000B7">
      <w:pPr>
        <w:tabs>
          <w:tab w:val="left" w:pos="0"/>
        </w:tabs>
        <w:ind w:firstLine="709"/>
        <w:jc w:val="both"/>
        <w:rPr>
          <w:color w:val="000000"/>
          <w:sz w:val="28"/>
          <w:szCs w:val="28"/>
        </w:rPr>
      </w:pPr>
      <w:r>
        <w:rPr>
          <w:color w:val="000000"/>
          <w:sz w:val="28"/>
          <w:szCs w:val="28"/>
        </w:rPr>
        <w:t xml:space="preserve">В рамках показателя «Деловая репутация участника конкурса»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по </w:t>
      </w:r>
      <w:proofErr w:type="spellStart"/>
      <w:r>
        <w:rPr>
          <w:color w:val="000000"/>
          <w:sz w:val="28"/>
          <w:szCs w:val="28"/>
        </w:rPr>
        <w:t>субфактору</w:t>
      </w:r>
      <w:proofErr w:type="spellEnd"/>
      <w:r>
        <w:rPr>
          <w:color w:val="000000"/>
          <w:sz w:val="28"/>
          <w:szCs w:val="28"/>
        </w:rPr>
        <w:t xml:space="preserve"> «Обеспеченность материально-техническими ресурсами» фактора «Средства» в случае наличия на правах аренды (лизинга) складского(-их) помещения(-</w:t>
      </w:r>
      <w:proofErr w:type="spellStart"/>
      <w:r>
        <w:rPr>
          <w:color w:val="000000"/>
          <w:sz w:val="28"/>
          <w:szCs w:val="28"/>
        </w:rPr>
        <w:t>ий</w:t>
      </w:r>
      <w:proofErr w:type="spellEnd"/>
      <w:r>
        <w:rPr>
          <w:color w:val="000000"/>
          <w:sz w:val="28"/>
          <w:szCs w:val="28"/>
        </w:rPr>
        <w:t xml:space="preserve">), предназначенного(-ых) для хранения продуктов питания, участнику закупки вместо выписки из Единого государственного реестра прав на недвижимое </w:t>
      </w:r>
      <w:r>
        <w:rPr>
          <w:color w:val="000000"/>
          <w:sz w:val="28"/>
          <w:szCs w:val="28"/>
        </w:rPr>
        <w:lastRenderedPageBreak/>
        <w:t>имущество  и сделок с ним, подтверждающей право собственности на объект недвижимости, используемый  в производственных целях, выданной не ранее чем за 90 дней до окончания подачи заявок на участие в настоящем конкурсе необходимо предоставить копию(-и) действующего(-их) договора(-</w:t>
      </w:r>
      <w:proofErr w:type="spellStart"/>
      <w:r>
        <w:rPr>
          <w:color w:val="000000"/>
          <w:sz w:val="28"/>
          <w:szCs w:val="28"/>
        </w:rPr>
        <w:t>ов</w:t>
      </w:r>
      <w:proofErr w:type="spellEnd"/>
      <w:r>
        <w:rPr>
          <w:color w:val="000000"/>
          <w:sz w:val="28"/>
          <w:szCs w:val="28"/>
        </w:rPr>
        <w:t>) аренды (лизинга) недвижимого имущества, покрывающего весь срок исполнения контракта, на право заключения которого проводится настоящий конкурс, с приложением акта приема-передачи недвижимого имущества от арендодателя участнику закупки (арендатору), содержащего сведения, позволяющие определенно установить недвижимое имущество, переданное арендатору в качестве объекта аренды (лизинга), а также с приложением копии выписки из единого государственного реестра прав на недвижимое имущество и сделок с ним на недвижимое имущество, переданное в аренду, выданной не ранее чем за 90 дней до окончания подачи заявок на участие в настоящем конкурсе либо до даты заключения такого договора аренды (лизинга) или копии свидетельства о государственной  регистрации права на недвижимое имущество и сделок с ним на недвижимое имущество, переданное в аренду (лизинг).</w:t>
      </w:r>
    </w:p>
    <w:p w:rsidR="003000B7" w:rsidRDefault="003000B7" w:rsidP="003000B7">
      <w:pPr>
        <w:tabs>
          <w:tab w:val="left" w:pos="0"/>
        </w:tabs>
        <w:ind w:firstLine="709"/>
        <w:jc w:val="both"/>
        <w:rPr>
          <w:color w:val="000000"/>
          <w:sz w:val="28"/>
          <w:szCs w:val="28"/>
        </w:rPr>
      </w:pPr>
      <w:r>
        <w:rPr>
          <w:color w:val="000000"/>
          <w:sz w:val="28"/>
          <w:szCs w:val="28"/>
        </w:rPr>
        <w:t xml:space="preserve">В рамках показателя «Деловая репутация участника конкурса»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по </w:t>
      </w:r>
      <w:proofErr w:type="spellStart"/>
      <w:r>
        <w:rPr>
          <w:color w:val="000000"/>
          <w:sz w:val="28"/>
          <w:szCs w:val="28"/>
        </w:rPr>
        <w:t>субфактору</w:t>
      </w:r>
      <w:proofErr w:type="spellEnd"/>
      <w:r>
        <w:rPr>
          <w:color w:val="000000"/>
          <w:sz w:val="28"/>
          <w:szCs w:val="28"/>
        </w:rPr>
        <w:t xml:space="preserve"> «Обеспеченность материально-техническими ресурсами» фактора «Средства» для подтверждения наличия холодильного оборудования участнику закупки необходимо предоставить копии следующих документов: договора(-</w:t>
      </w:r>
      <w:proofErr w:type="spellStart"/>
      <w:r>
        <w:rPr>
          <w:color w:val="000000"/>
          <w:sz w:val="28"/>
          <w:szCs w:val="28"/>
        </w:rPr>
        <w:t>ов</w:t>
      </w:r>
      <w:proofErr w:type="spellEnd"/>
      <w:r>
        <w:rPr>
          <w:color w:val="000000"/>
          <w:sz w:val="28"/>
          <w:szCs w:val="28"/>
        </w:rPr>
        <w:t>) на проведение дезинфекции, дезинсекции и дератизации холодильного оборудования.</w:t>
      </w:r>
    </w:p>
    <w:p w:rsidR="003000B7" w:rsidRDefault="003000B7" w:rsidP="003000B7">
      <w:pPr>
        <w:tabs>
          <w:tab w:val="left" w:pos="0"/>
        </w:tabs>
        <w:ind w:firstLine="709"/>
        <w:jc w:val="both"/>
        <w:rPr>
          <w:color w:val="000000"/>
          <w:sz w:val="28"/>
          <w:szCs w:val="28"/>
        </w:rPr>
      </w:pPr>
      <w:r>
        <w:rPr>
          <w:color w:val="000000"/>
          <w:sz w:val="28"/>
          <w:szCs w:val="28"/>
        </w:rPr>
        <w:t xml:space="preserve">В рамках показателя «Деловая репутация участника конкурса»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по </w:t>
      </w:r>
      <w:proofErr w:type="spellStart"/>
      <w:r>
        <w:rPr>
          <w:color w:val="000000"/>
          <w:sz w:val="28"/>
          <w:szCs w:val="28"/>
        </w:rPr>
        <w:t>субфактору</w:t>
      </w:r>
      <w:proofErr w:type="spellEnd"/>
      <w:r>
        <w:rPr>
          <w:color w:val="000000"/>
          <w:sz w:val="28"/>
          <w:szCs w:val="28"/>
        </w:rPr>
        <w:t xml:space="preserve"> «Обеспеченность материально-техническими ресурсами» фактора «Средства» если участник закупки предоставляет копии договоров на проведение дезинфекции, дезинсекции и дератизации холодильного оборудования, на проведение дезинфекции и дезинсекции транспортного (-ых) средства (-в), на вывоз мусора, на предоставление мусорного бака в аренду с обязательной мойкой и дезинфекцией, на проведение дезинфекции, дезинсекции и дератизации помещений склада, на медицинские осмотры персонала склада, договора на оказание ветеринарных услуг, на проведение поверки </w:t>
      </w:r>
      <w:proofErr w:type="spellStart"/>
      <w:r>
        <w:rPr>
          <w:color w:val="000000"/>
          <w:sz w:val="28"/>
          <w:szCs w:val="28"/>
        </w:rPr>
        <w:lastRenderedPageBreak/>
        <w:t>весоизмерительного</w:t>
      </w:r>
      <w:proofErr w:type="spellEnd"/>
      <w:r>
        <w:rPr>
          <w:color w:val="000000"/>
          <w:sz w:val="28"/>
          <w:szCs w:val="28"/>
        </w:rPr>
        <w:t xml:space="preserve"> оборудования, то каждый из таких договор должен соответствовать следующим требованиям: быть действующим на дату окончания срока подачи заявок, срок действия договора должен покрывать весь срок исполнения контракта, на право заключения которого проводится настоящий конкурс.</w:t>
      </w:r>
    </w:p>
    <w:p w:rsidR="003000B7" w:rsidRDefault="003000B7" w:rsidP="003000B7">
      <w:pPr>
        <w:tabs>
          <w:tab w:val="left" w:pos="0"/>
        </w:tabs>
        <w:ind w:firstLine="709"/>
        <w:jc w:val="both"/>
        <w:rPr>
          <w:color w:val="000000"/>
          <w:sz w:val="28"/>
          <w:szCs w:val="28"/>
        </w:rPr>
      </w:pPr>
      <w:r>
        <w:rPr>
          <w:color w:val="000000"/>
          <w:sz w:val="28"/>
          <w:szCs w:val="28"/>
        </w:rPr>
        <w:t xml:space="preserve">В рамках показателя «Деловая репутация участника конкурса»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по </w:t>
      </w:r>
      <w:proofErr w:type="spellStart"/>
      <w:r>
        <w:rPr>
          <w:color w:val="000000"/>
          <w:sz w:val="28"/>
          <w:szCs w:val="28"/>
        </w:rPr>
        <w:t>субфактору</w:t>
      </w:r>
      <w:proofErr w:type="spellEnd"/>
      <w:r>
        <w:rPr>
          <w:color w:val="000000"/>
          <w:sz w:val="28"/>
          <w:szCs w:val="28"/>
        </w:rPr>
        <w:t xml:space="preserve"> «Обеспеченность материально-техническими ресурсами» фактора «Средства» для подтверждения наличия </w:t>
      </w:r>
      <w:proofErr w:type="spellStart"/>
      <w:r>
        <w:rPr>
          <w:color w:val="000000"/>
          <w:sz w:val="28"/>
          <w:szCs w:val="28"/>
        </w:rPr>
        <w:t>весоизмерительного</w:t>
      </w:r>
      <w:proofErr w:type="spellEnd"/>
      <w:r>
        <w:rPr>
          <w:color w:val="000000"/>
          <w:sz w:val="28"/>
          <w:szCs w:val="28"/>
        </w:rPr>
        <w:t xml:space="preserve"> оборудования участнику закупки необходимо предоставить копии следующих документов: договора</w:t>
      </w:r>
      <w:r>
        <w:rPr>
          <w:color w:val="000000"/>
          <w:sz w:val="28"/>
          <w:szCs w:val="28"/>
        </w:rPr>
        <w:br/>
        <w:t>(-</w:t>
      </w:r>
      <w:proofErr w:type="spellStart"/>
      <w:r>
        <w:rPr>
          <w:color w:val="000000"/>
          <w:sz w:val="28"/>
          <w:szCs w:val="28"/>
        </w:rPr>
        <w:t>ов</w:t>
      </w:r>
      <w:proofErr w:type="spellEnd"/>
      <w:r>
        <w:rPr>
          <w:color w:val="000000"/>
          <w:sz w:val="28"/>
          <w:szCs w:val="28"/>
        </w:rPr>
        <w:t xml:space="preserve">) на проведение поверки </w:t>
      </w:r>
      <w:proofErr w:type="spellStart"/>
      <w:r>
        <w:rPr>
          <w:color w:val="000000"/>
          <w:sz w:val="28"/>
          <w:szCs w:val="28"/>
        </w:rPr>
        <w:t>весоизмерительного</w:t>
      </w:r>
      <w:proofErr w:type="spellEnd"/>
      <w:r>
        <w:rPr>
          <w:color w:val="000000"/>
          <w:sz w:val="28"/>
          <w:szCs w:val="28"/>
        </w:rPr>
        <w:t xml:space="preserve"> оборудования.</w:t>
      </w:r>
    </w:p>
    <w:p w:rsidR="003000B7" w:rsidRDefault="003000B7" w:rsidP="003000B7">
      <w:pPr>
        <w:tabs>
          <w:tab w:val="left" w:pos="0"/>
        </w:tabs>
        <w:ind w:firstLine="709"/>
        <w:jc w:val="both"/>
        <w:rPr>
          <w:color w:val="000000"/>
          <w:sz w:val="28"/>
          <w:szCs w:val="28"/>
        </w:rPr>
      </w:pPr>
      <w:r>
        <w:rPr>
          <w:color w:val="000000"/>
          <w:sz w:val="28"/>
          <w:szCs w:val="28"/>
        </w:rPr>
        <w:t xml:space="preserve">В случае, если в рамках показателя «Деловая репутация участника конкурса» критерия оценки «Квалификация участников закупки в том числе наличие у них финансовых ресурсов, оборудования </w:t>
      </w:r>
      <w:r>
        <w:rPr>
          <w:color w:val="000000"/>
          <w:sz w:val="28"/>
          <w:szCs w:val="28"/>
        </w:rPr>
        <w:br/>
        <w:t xml:space="preserve">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участник закупки предоставляет в составе заявки копии документов, подтверждающих наличие у участника закупки какого-либо материально-технического ресурса, то в составе второй части заявки на участие в конкурсе также необходимо предоставить отдельную карточку по каждой единице оборудования (по каждому материально-техническому ресурсу), которая в обязательном порядке должна (-ы) содержать следующую информацию: сведения о наименовании и марке оборудования; форму </w:t>
      </w:r>
      <w:proofErr w:type="spellStart"/>
      <w:r>
        <w:rPr>
          <w:color w:val="000000"/>
          <w:sz w:val="28"/>
          <w:szCs w:val="28"/>
        </w:rPr>
        <w:t>правопользования</w:t>
      </w:r>
      <w:proofErr w:type="spellEnd"/>
      <w:r>
        <w:rPr>
          <w:color w:val="000000"/>
          <w:sz w:val="28"/>
          <w:szCs w:val="28"/>
        </w:rPr>
        <w:t xml:space="preserve"> оборудованием (собственность/аренда/лизинг); реквизиты инвентарных карточек учета объектов основных средств (при наличии указанных объектов в собственности и при ведении учета такого оборудования либо указание о причине отсутствия таких реквизитов); серия и номер договора аренды/лизинга (при наличии указанного оборудования на правах аренды/лизинга) или реквизиты иных документов, подтверждающих факт наличия оборудования у участника закупки в собственности; указания на сферу применения указанного оборудования (то есть при оказании каких именно услуг/выполнении каких именно работ применяется такое оборудование; если карточка оформляется в отношении холодильного оборудования, предназначенного для хранения продуктов питания,  то необходимо указать какие продукты питания будут хранится в таком холодильнике (холодильной камере), при какой температуре и сколько времени (суток)). Карточка оборудования может быть оформлен в </w:t>
      </w:r>
      <w:r>
        <w:rPr>
          <w:color w:val="000000"/>
          <w:sz w:val="28"/>
          <w:szCs w:val="28"/>
        </w:rPr>
        <w:lastRenderedPageBreak/>
        <w:t>виде таблицы, содержащей все сведения в соответствии с настоящим пунктом общей части конкурсной документации. Карточка оборудования не оформляется в отношении такого материально-технического ресурса, как складское или офисное помещение.</w:t>
      </w:r>
    </w:p>
    <w:p w:rsidR="003000B7" w:rsidRDefault="003000B7" w:rsidP="003000B7">
      <w:pPr>
        <w:tabs>
          <w:tab w:val="left" w:pos="0"/>
        </w:tabs>
        <w:ind w:firstLine="709"/>
        <w:jc w:val="both"/>
        <w:rPr>
          <w:color w:val="000000"/>
          <w:sz w:val="28"/>
          <w:szCs w:val="28"/>
        </w:rPr>
      </w:pPr>
      <w:r>
        <w:rPr>
          <w:color w:val="000000"/>
          <w:sz w:val="28"/>
          <w:szCs w:val="28"/>
        </w:rPr>
        <w:t>В рамках показателя «Деловая репутация участника конкурса»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недостоверной информацией признаются противоречивые сведения (сведения, не соответствующие друг другу, сведения, не соответствующие действительности).</w:t>
      </w:r>
    </w:p>
    <w:p w:rsidR="003000B7" w:rsidRDefault="003000B7" w:rsidP="003000B7">
      <w:pPr>
        <w:tabs>
          <w:tab w:val="left" w:pos="0"/>
        </w:tabs>
        <w:ind w:firstLine="709"/>
        <w:jc w:val="both"/>
        <w:rPr>
          <w:color w:val="000000"/>
          <w:sz w:val="28"/>
          <w:szCs w:val="28"/>
        </w:rPr>
      </w:pPr>
      <w:r>
        <w:rPr>
          <w:color w:val="000000"/>
          <w:sz w:val="28"/>
          <w:szCs w:val="28"/>
        </w:rPr>
        <w:t>В рамках показателя «Деловая репутация участника конкурса»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в случае, если участник закупки предоставляет в составе заявки договор на оказание каких-либо услуг, заказчиком по которому является сам участник закупки, а на оказание услуг, являющихся предметом такого договора, в соответствии с действующим законодательством Российской Федерации необходимо иметь лицензию или иной документ, предусмотренный действующим законодательством Российской Федерации, то исполнитель по такому договору должен иметь такую лицензию или иной документ, действующий на дату окончания срока подачи заявки на участие в настоящем конкурсе.</w:t>
      </w:r>
    </w:p>
    <w:p w:rsidR="003000B7" w:rsidRDefault="003000B7" w:rsidP="003000B7">
      <w:pPr>
        <w:tabs>
          <w:tab w:val="left" w:pos="0"/>
        </w:tabs>
        <w:ind w:firstLine="709"/>
        <w:jc w:val="both"/>
        <w:rPr>
          <w:color w:val="000000"/>
          <w:sz w:val="28"/>
          <w:szCs w:val="28"/>
        </w:rPr>
      </w:pPr>
      <w:r>
        <w:rPr>
          <w:color w:val="000000"/>
          <w:sz w:val="28"/>
          <w:szCs w:val="28"/>
        </w:rPr>
        <w:t xml:space="preserve">В рамках показателя «Деловая репутация участника конкурса»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в случае отсутствия в составе заявки участника закупки копий всех документов, подтверждающих наличие соответствующего материально-технического ресурса, сотрудника, контракта (договора) или положительного отзыва/благодарственного письма, предусмотренных настоящей конкурсной документацией, такой материально-технический ресурс, сотрудник, контракт (договор) или положительный отзыв/благодарственное письмо не будет учтен(-о) при подсчете баллов по показателю «Деловая репутация участника конкурса» критерия «Квалификация участников закупки в том числе наличие </w:t>
      </w:r>
      <w:r>
        <w:rPr>
          <w:color w:val="000000"/>
          <w:sz w:val="28"/>
          <w:szCs w:val="28"/>
        </w:rPr>
        <w:br/>
        <w:t xml:space="preserve">у них финансовых ресурсов, оборудования и других материальных ресурсов, </w:t>
      </w:r>
      <w:r>
        <w:rPr>
          <w:color w:val="000000"/>
          <w:sz w:val="28"/>
          <w:szCs w:val="28"/>
        </w:rPr>
        <w:lastRenderedPageBreak/>
        <w:t>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000B7" w:rsidRDefault="003000B7" w:rsidP="003000B7">
      <w:pPr>
        <w:tabs>
          <w:tab w:val="left" w:pos="0"/>
        </w:tabs>
        <w:ind w:firstLine="709"/>
        <w:jc w:val="both"/>
        <w:rPr>
          <w:color w:val="000000"/>
          <w:sz w:val="28"/>
          <w:szCs w:val="28"/>
        </w:rPr>
      </w:pPr>
      <w:r>
        <w:rPr>
          <w:color w:val="000000"/>
          <w:sz w:val="28"/>
          <w:szCs w:val="28"/>
        </w:rPr>
        <w:t>В рамках показателя «Деловая репутация участника конкурса»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по фактору, характеризующему продолжительность присутствия (нахождения) участника закупки на рынке по своему профилю экономической деятельности, участник закупки вправе предоставить контракт (договор) за настоящий (текущий) календарный год, обязательства по которому на момент подачи заявки на участие в настоящем конкурсе полностью не исполнены участником и, при этом, не прикладывать в состав заявки документы, подтверждающие полное/частичное исполнение такого контракта (договора).</w:t>
      </w:r>
    </w:p>
    <w:p w:rsidR="003000B7" w:rsidRDefault="003000B7" w:rsidP="003000B7">
      <w:pPr>
        <w:tabs>
          <w:tab w:val="left" w:pos="0"/>
        </w:tabs>
        <w:ind w:firstLine="709"/>
        <w:jc w:val="both"/>
        <w:rPr>
          <w:color w:val="000000"/>
          <w:sz w:val="28"/>
          <w:szCs w:val="28"/>
        </w:rPr>
      </w:pPr>
      <w:r>
        <w:rPr>
          <w:color w:val="000000"/>
          <w:sz w:val="28"/>
          <w:szCs w:val="28"/>
        </w:rPr>
        <w:t xml:space="preserve">В рамках показателя «Деловая репутация участника конкурса»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по </w:t>
      </w:r>
      <w:proofErr w:type="spellStart"/>
      <w:r>
        <w:rPr>
          <w:color w:val="000000"/>
          <w:sz w:val="28"/>
          <w:szCs w:val="28"/>
        </w:rPr>
        <w:t>субфактору</w:t>
      </w:r>
      <w:proofErr w:type="spellEnd"/>
      <w:r>
        <w:rPr>
          <w:color w:val="000000"/>
          <w:sz w:val="28"/>
          <w:szCs w:val="28"/>
        </w:rPr>
        <w:t xml:space="preserve"> «Обеспеченность материально-техническими ресурсами» фактора «Средства» для подтверждения наличия складского(-их) помещения(-</w:t>
      </w:r>
      <w:proofErr w:type="spellStart"/>
      <w:r>
        <w:rPr>
          <w:color w:val="000000"/>
          <w:sz w:val="28"/>
          <w:szCs w:val="28"/>
        </w:rPr>
        <w:t>ий</w:t>
      </w:r>
      <w:proofErr w:type="spellEnd"/>
      <w:r>
        <w:rPr>
          <w:color w:val="000000"/>
          <w:sz w:val="28"/>
          <w:szCs w:val="28"/>
        </w:rPr>
        <w:t>), предназначенного(-ых) для хранения продуктов питания, участнику закупки необходимо предоставить копии следующих документов: выписки из Единого государственного реестра прав на недвижимое имущество и сделок с ним, подтверждающей право собственности  на объект недвижимости, используемый в производственных целях, выданной не ранее чем за 90 дней до окончания подачи заявок на участие в настоящем конкурсе; действующего ветеринарного удостоверения, содержащего конечный срок действия, выданного участнику закупки (в случае, если объектом закупки является, в том числе поставка продуктов животного происхождения); договора  на вывоз мусора либо договора на предоставление мусорного бака в аренду с обязательной мойкой  и дезинфекцией; договора(-</w:t>
      </w:r>
      <w:proofErr w:type="spellStart"/>
      <w:r>
        <w:rPr>
          <w:color w:val="000000"/>
          <w:sz w:val="28"/>
          <w:szCs w:val="28"/>
        </w:rPr>
        <w:t>ов</w:t>
      </w:r>
      <w:proofErr w:type="spellEnd"/>
      <w:r>
        <w:rPr>
          <w:color w:val="000000"/>
          <w:sz w:val="28"/>
          <w:szCs w:val="28"/>
        </w:rPr>
        <w:t xml:space="preserve">) на проведение дезинфекции, дезинсекции и дератизации помещений склада; договора на оказание ветеринарных услуг (в случае, если объектом закупки является, в том числе поставка продуктов животного происхождения); договора на медицинские осмотры персонала склада; действующего сертификата соответствия требованиям ГОСТ Р 51705.1-2001 системы качества и безопасности применительно к услугам по хранению и транспортировке </w:t>
      </w:r>
      <w:r>
        <w:rPr>
          <w:color w:val="000000"/>
          <w:sz w:val="28"/>
          <w:szCs w:val="28"/>
        </w:rPr>
        <w:lastRenderedPageBreak/>
        <w:t>пищевых продуктов, основанной на принципах ХАССП, выданного участнику закупки.</w:t>
      </w:r>
    </w:p>
    <w:p w:rsidR="003000B7" w:rsidRDefault="003000B7" w:rsidP="003000B7">
      <w:pPr>
        <w:tabs>
          <w:tab w:val="left" w:pos="0"/>
        </w:tabs>
        <w:ind w:firstLine="709"/>
        <w:jc w:val="both"/>
        <w:rPr>
          <w:color w:val="000000"/>
          <w:sz w:val="28"/>
          <w:szCs w:val="28"/>
        </w:rPr>
      </w:pPr>
      <w:r>
        <w:rPr>
          <w:color w:val="000000"/>
          <w:sz w:val="28"/>
          <w:szCs w:val="28"/>
        </w:rPr>
        <w:t xml:space="preserve">В рамках показателя «Деловая репутация участника конкурса»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фактор Х5 определяется в зависимости  от достоверности представленных в заявке участником закупки сведений по факторам «История», «Средства», «Кадры», «Имидж» и их </w:t>
      </w:r>
      <w:proofErr w:type="spellStart"/>
      <w:r>
        <w:rPr>
          <w:color w:val="000000"/>
          <w:sz w:val="28"/>
          <w:szCs w:val="28"/>
        </w:rPr>
        <w:t>субфакторам</w:t>
      </w:r>
      <w:proofErr w:type="spellEnd"/>
      <w:r>
        <w:rPr>
          <w:color w:val="000000"/>
          <w:sz w:val="28"/>
          <w:szCs w:val="28"/>
        </w:rPr>
        <w:t xml:space="preserve">. В случае </w:t>
      </w:r>
      <w:proofErr w:type="spellStart"/>
      <w:r>
        <w:rPr>
          <w:color w:val="000000"/>
          <w:sz w:val="28"/>
          <w:szCs w:val="28"/>
        </w:rPr>
        <w:t>неначисления</w:t>
      </w:r>
      <w:proofErr w:type="spellEnd"/>
      <w:r>
        <w:rPr>
          <w:color w:val="000000"/>
          <w:sz w:val="28"/>
          <w:szCs w:val="28"/>
        </w:rPr>
        <w:t xml:space="preserve"> конкурсной комиссией баллов по фактору «История», и/или «Средства», и/или «Кадры», и/или «Имидж», и/или по какому-либо из их </w:t>
      </w:r>
      <w:proofErr w:type="spellStart"/>
      <w:r>
        <w:rPr>
          <w:color w:val="000000"/>
          <w:sz w:val="28"/>
          <w:szCs w:val="28"/>
        </w:rPr>
        <w:t>субфакторов</w:t>
      </w:r>
      <w:proofErr w:type="spellEnd"/>
      <w:r>
        <w:rPr>
          <w:color w:val="000000"/>
          <w:sz w:val="28"/>
          <w:szCs w:val="28"/>
        </w:rPr>
        <w:t xml:space="preserve"> в связи с неполным представлением участником закупки подтверждающих документов в отношении факторов «История», и/или «Средства», и/или «Кадры», и/или «Имидж», и/или их </w:t>
      </w:r>
      <w:proofErr w:type="spellStart"/>
      <w:r>
        <w:rPr>
          <w:color w:val="000000"/>
          <w:sz w:val="28"/>
          <w:szCs w:val="28"/>
        </w:rPr>
        <w:t>субфакторов</w:t>
      </w:r>
      <w:proofErr w:type="spellEnd"/>
      <w:r>
        <w:rPr>
          <w:color w:val="000000"/>
          <w:sz w:val="28"/>
          <w:szCs w:val="28"/>
        </w:rPr>
        <w:t>, неверными расчетами значений факторов/</w:t>
      </w:r>
      <w:proofErr w:type="spellStart"/>
      <w:r>
        <w:rPr>
          <w:color w:val="000000"/>
          <w:sz w:val="28"/>
          <w:szCs w:val="28"/>
        </w:rPr>
        <w:t>субфакторов</w:t>
      </w:r>
      <w:proofErr w:type="spellEnd"/>
      <w:r>
        <w:rPr>
          <w:color w:val="000000"/>
          <w:sz w:val="28"/>
          <w:szCs w:val="28"/>
        </w:rPr>
        <w:t>, предусмотренных настоящим пунктом конкурсной документацией, значение фактора X5 устанавливается в числовом выражении, равном 0, что соответствует неполному представлению участником закупки информации для начисления баллов по соответствующему фактору/</w:t>
      </w:r>
      <w:proofErr w:type="spellStart"/>
      <w:r>
        <w:rPr>
          <w:color w:val="000000"/>
          <w:sz w:val="28"/>
          <w:szCs w:val="28"/>
        </w:rPr>
        <w:t>субфактору</w:t>
      </w:r>
      <w:proofErr w:type="spellEnd"/>
      <w:r>
        <w:rPr>
          <w:color w:val="000000"/>
          <w:sz w:val="28"/>
          <w:szCs w:val="28"/>
        </w:rPr>
        <w:t xml:space="preserve"> показателя «Деловая репутация»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в ином случае, значение X5 определяется как 1, что соответствует полному представлению участником закупки подтверждающих документов по соответствующему фактору/</w:t>
      </w:r>
      <w:proofErr w:type="spellStart"/>
      <w:r>
        <w:rPr>
          <w:color w:val="000000"/>
          <w:sz w:val="28"/>
          <w:szCs w:val="28"/>
        </w:rPr>
        <w:t>субфактору</w:t>
      </w:r>
      <w:proofErr w:type="spellEnd"/>
      <w:r>
        <w:rPr>
          <w:color w:val="000000"/>
          <w:sz w:val="28"/>
          <w:szCs w:val="28"/>
        </w:rPr>
        <w:t xml:space="preserve"> по показателю «Деловая репутация»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000B7" w:rsidRDefault="003000B7" w:rsidP="003000B7">
      <w:pPr>
        <w:tabs>
          <w:tab w:val="left" w:pos="0"/>
        </w:tabs>
        <w:ind w:firstLine="709"/>
        <w:jc w:val="both"/>
        <w:rPr>
          <w:color w:val="000000"/>
          <w:sz w:val="28"/>
          <w:szCs w:val="28"/>
        </w:rPr>
      </w:pPr>
      <w:r>
        <w:rPr>
          <w:color w:val="000000"/>
          <w:sz w:val="28"/>
          <w:szCs w:val="28"/>
        </w:rPr>
        <w:t xml:space="preserve">В рамках показателя «Деловая репутация участника конкурса»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недостоверной информацией признаются противоречивые сведения (сведения, не соответствующие друг другу, сведения, не соответствующие </w:t>
      </w:r>
      <w:r>
        <w:rPr>
          <w:color w:val="000000"/>
          <w:sz w:val="28"/>
          <w:szCs w:val="28"/>
        </w:rPr>
        <w:lastRenderedPageBreak/>
        <w:t xml:space="preserve">действительности). Противоречивыми сведениями признаются в том числе, представленные в составе заявки сведения о наличии материально-технического ресурса/сотрудника/контракта/договора/положительного отзыва/благодарственного письма/иного документа для получения баллов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но не подтвержденные соответственно копиями правоустанавливающих документов (договором аренды (лизинга)/выпиской из ЕГРП/ инвентарной карточки учета объектов основных средств унифицированной формы ОС-6(для </w:t>
      </w:r>
      <w:proofErr w:type="spellStart"/>
      <w:r>
        <w:rPr>
          <w:color w:val="000000"/>
          <w:sz w:val="28"/>
          <w:szCs w:val="28"/>
        </w:rPr>
        <w:t>юр.лица</w:t>
      </w:r>
      <w:proofErr w:type="spellEnd"/>
      <w:r>
        <w:rPr>
          <w:color w:val="000000"/>
          <w:sz w:val="28"/>
          <w:szCs w:val="28"/>
        </w:rPr>
        <w:t>))/ копиями документов, подтверждающих трудовые взаимоотношения между указанным сотрудником и участником закупки/ копией контракта/копией договора/ копией положительного отзывы/ копией благодарственного письма/ копией иного документа (например, копией сертификата менеджмента качества) в соответствии  с требованиями настоящего пункта конкурсной документации, а также сведения, представленные  в составе первой и второй частей заявки, противоречащие друг другу.</w:t>
      </w:r>
    </w:p>
    <w:p w:rsidR="003000B7" w:rsidRDefault="003000B7" w:rsidP="003000B7">
      <w:pPr>
        <w:tabs>
          <w:tab w:val="left" w:pos="0"/>
        </w:tabs>
        <w:ind w:firstLine="709"/>
        <w:jc w:val="both"/>
        <w:rPr>
          <w:color w:val="000000"/>
          <w:sz w:val="28"/>
          <w:szCs w:val="28"/>
        </w:rPr>
      </w:pPr>
      <w:r>
        <w:rPr>
          <w:color w:val="000000"/>
          <w:sz w:val="28"/>
          <w:szCs w:val="28"/>
        </w:rPr>
        <w:t>В случае, если в рамках показателя «Деловая репутация участника конкурса»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участник закупки предоставляет в составе заявки копии документов, подтверждающих наличие у участника закупки сотрудников, то в составе второй части заявки на участие в конкурсе также необходимо предоставить реестр сотрудников, который в обязательном порядке должен содержать следующую информацию: фамилия, имя  и отчество сотрудника; должность сотрудника; сведения о номере и дате записи в трудовой книжке  о приеме сотрудника на соответствующую должность к участнику закупки; сведения о номере и дате трудового договора, заключенного между участником закупки (работодателем) и сотрудником (указывается для руководителей организации); сведения о номере и дате приказа (распоряжения) о приеме работника (сотрудника) на работу, сведения об опыте сотрудника в соответствующей должности. Реестр сотрудников может быть оформлен в виде таблицы, содержащей все сведения в соответствии с настоящим пунктом общей части конкурсной документации.</w:t>
      </w:r>
    </w:p>
    <w:p w:rsidR="003000B7" w:rsidRDefault="003000B7" w:rsidP="003000B7">
      <w:pPr>
        <w:tabs>
          <w:tab w:val="left" w:pos="0"/>
        </w:tabs>
        <w:ind w:firstLine="709"/>
        <w:jc w:val="both"/>
        <w:rPr>
          <w:color w:val="000000"/>
          <w:sz w:val="28"/>
          <w:szCs w:val="28"/>
        </w:rPr>
      </w:pPr>
      <w:r>
        <w:rPr>
          <w:color w:val="000000"/>
          <w:sz w:val="28"/>
          <w:szCs w:val="28"/>
        </w:rPr>
        <w:t xml:space="preserve">В рамках показателя «Деловая репутация участника конкурса» критерия «Квалификация участников закупки в том числе наличие у них финансовых </w:t>
      </w:r>
      <w:r>
        <w:rPr>
          <w:color w:val="000000"/>
          <w:sz w:val="28"/>
          <w:szCs w:val="28"/>
        </w:rPr>
        <w:lastRenderedPageBreak/>
        <w:t xml:space="preserve">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фактор «Кадры» определяют по выражению:  Х3 = Х3.1*D3.1+Х3.2*D3.2, где Х3.1, Х3.2, – </w:t>
      </w:r>
      <w:proofErr w:type="spellStart"/>
      <w:r>
        <w:rPr>
          <w:color w:val="000000"/>
          <w:sz w:val="28"/>
          <w:szCs w:val="28"/>
        </w:rPr>
        <w:t>субфакторы</w:t>
      </w:r>
      <w:proofErr w:type="spellEnd"/>
      <w:r>
        <w:rPr>
          <w:color w:val="000000"/>
          <w:sz w:val="28"/>
          <w:szCs w:val="28"/>
        </w:rPr>
        <w:t xml:space="preserve"> фактора «Кадры», D3.1, D3.2 – коэффициенты значимости </w:t>
      </w:r>
      <w:proofErr w:type="spellStart"/>
      <w:r>
        <w:rPr>
          <w:color w:val="000000"/>
          <w:sz w:val="28"/>
          <w:szCs w:val="28"/>
        </w:rPr>
        <w:t>субфакторов</w:t>
      </w:r>
      <w:proofErr w:type="spellEnd"/>
      <w:r>
        <w:rPr>
          <w:color w:val="000000"/>
          <w:sz w:val="28"/>
          <w:szCs w:val="28"/>
        </w:rPr>
        <w:t>.</w:t>
      </w:r>
    </w:p>
    <w:p w:rsidR="003000B7" w:rsidRDefault="003000B7" w:rsidP="003000B7">
      <w:pPr>
        <w:tabs>
          <w:tab w:val="left" w:pos="0"/>
        </w:tabs>
        <w:ind w:firstLine="709"/>
        <w:jc w:val="both"/>
        <w:rPr>
          <w:color w:val="000000"/>
          <w:sz w:val="28"/>
          <w:szCs w:val="28"/>
        </w:rPr>
      </w:pPr>
      <w:r>
        <w:rPr>
          <w:color w:val="000000"/>
          <w:sz w:val="28"/>
          <w:szCs w:val="28"/>
        </w:rPr>
        <w:t xml:space="preserve">В рамках показателя «Деловая репутация участника конкурса»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для оценки заявки по фактору «Кадры» применяются следующие </w:t>
      </w:r>
      <w:proofErr w:type="spellStart"/>
      <w:r>
        <w:rPr>
          <w:color w:val="000000"/>
          <w:sz w:val="28"/>
          <w:szCs w:val="28"/>
        </w:rPr>
        <w:t>субфакторы</w:t>
      </w:r>
      <w:proofErr w:type="spellEnd"/>
      <w:r>
        <w:rPr>
          <w:color w:val="000000"/>
          <w:sz w:val="28"/>
          <w:szCs w:val="28"/>
        </w:rPr>
        <w:t>: Х3.1 – «Органы управления», Х3.2 – «Среднее звено».</w:t>
      </w:r>
    </w:p>
    <w:p w:rsidR="003000B7" w:rsidRDefault="003000B7" w:rsidP="003000B7">
      <w:pPr>
        <w:tabs>
          <w:tab w:val="left" w:pos="0"/>
        </w:tabs>
        <w:ind w:firstLine="709"/>
        <w:jc w:val="both"/>
        <w:rPr>
          <w:color w:val="000000"/>
          <w:sz w:val="28"/>
          <w:szCs w:val="28"/>
        </w:rPr>
      </w:pPr>
      <w:r>
        <w:rPr>
          <w:color w:val="000000"/>
          <w:sz w:val="28"/>
          <w:szCs w:val="28"/>
        </w:rPr>
        <w:t xml:space="preserve">В рамках показателя «Деловая репутация участника конкурса»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коэффициент значимости </w:t>
      </w:r>
      <w:proofErr w:type="spellStart"/>
      <w:r>
        <w:rPr>
          <w:color w:val="000000"/>
          <w:sz w:val="28"/>
          <w:szCs w:val="28"/>
        </w:rPr>
        <w:t>субфактора</w:t>
      </w:r>
      <w:proofErr w:type="spellEnd"/>
      <w:r>
        <w:rPr>
          <w:color w:val="000000"/>
          <w:sz w:val="28"/>
          <w:szCs w:val="28"/>
        </w:rPr>
        <w:t xml:space="preserve"> «Органы управления» фактора «Кадры» равен «0,60», а коэффициент значимости </w:t>
      </w:r>
      <w:proofErr w:type="spellStart"/>
      <w:r>
        <w:rPr>
          <w:color w:val="000000"/>
          <w:sz w:val="28"/>
          <w:szCs w:val="28"/>
        </w:rPr>
        <w:t>субфактора</w:t>
      </w:r>
      <w:proofErr w:type="spellEnd"/>
      <w:r>
        <w:rPr>
          <w:color w:val="000000"/>
          <w:sz w:val="28"/>
          <w:szCs w:val="28"/>
        </w:rPr>
        <w:t xml:space="preserve"> «Среднее звено» фактора «Кадры» равен «0,40».</w:t>
      </w:r>
    </w:p>
    <w:p w:rsidR="003000B7" w:rsidRDefault="003000B7" w:rsidP="003000B7">
      <w:pPr>
        <w:tabs>
          <w:tab w:val="left" w:pos="0"/>
        </w:tabs>
        <w:ind w:firstLine="709"/>
        <w:jc w:val="both"/>
        <w:rPr>
          <w:color w:val="000000"/>
          <w:sz w:val="28"/>
          <w:szCs w:val="28"/>
        </w:rPr>
      </w:pPr>
      <w:r>
        <w:rPr>
          <w:color w:val="000000"/>
          <w:sz w:val="28"/>
          <w:szCs w:val="28"/>
        </w:rPr>
        <w:t xml:space="preserve">В рамках показателя «Деловая репутация участника конкурса»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значение </w:t>
      </w:r>
      <w:proofErr w:type="spellStart"/>
      <w:r>
        <w:rPr>
          <w:color w:val="000000"/>
          <w:sz w:val="28"/>
          <w:szCs w:val="28"/>
        </w:rPr>
        <w:t>субфактора</w:t>
      </w:r>
      <w:proofErr w:type="spellEnd"/>
      <w:r>
        <w:rPr>
          <w:color w:val="000000"/>
          <w:sz w:val="28"/>
          <w:szCs w:val="28"/>
        </w:rPr>
        <w:t xml:space="preserve"> Х3.1 характеризует уровень образования, стаж работы в должности в организации и практический опыт в рамках исполнения контрактов по поставке продуктов питания, организации питания руководителя организации,  к которому относится генеральный директор, и определяется следующим образом: Х3.1=Х3.1.1*D3.1.1+Х3.1.2*D3.1.2, где Х3.1.1 – уровень образования сотрудников, Х3.1.2 – стаж работы в сфере оказания услуг по поставке продуктов питания, организации питания,  D3.1.1 – коэффициент значимости Х3.1.1, равный «0,50», D3.1.2 – коэффициент значимости Х3.1.2, равный «0,50».</w:t>
      </w:r>
    </w:p>
    <w:p w:rsidR="003000B7" w:rsidRDefault="003000B7" w:rsidP="003000B7">
      <w:pPr>
        <w:tabs>
          <w:tab w:val="left" w:pos="0"/>
        </w:tabs>
        <w:ind w:firstLine="709"/>
        <w:jc w:val="both"/>
        <w:rPr>
          <w:color w:val="000000"/>
          <w:sz w:val="28"/>
          <w:szCs w:val="28"/>
        </w:rPr>
      </w:pPr>
      <w:r>
        <w:rPr>
          <w:color w:val="000000"/>
          <w:sz w:val="28"/>
          <w:szCs w:val="28"/>
        </w:rPr>
        <w:t xml:space="preserve">В рамках показателя «Деловая репутация участника конкурса» критерия «Квалификация участников закупки в том числе наличие у них финансовых ресурсов, оборудования и других материальных ресурсов, принадлежащих им </w:t>
      </w:r>
      <w:r>
        <w:rPr>
          <w:color w:val="000000"/>
          <w:sz w:val="28"/>
          <w:szCs w:val="28"/>
        </w:rPr>
        <w:lastRenderedPageBreak/>
        <w:t xml:space="preserve">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уровень образования генерального директора  в рамках Х3.1.1 </w:t>
      </w:r>
      <w:proofErr w:type="spellStart"/>
      <w:r>
        <w:rPr>
          <w:color w:val="000000"/>
          <w:sz w:val="28"/>
          <w:szCs w:val="28"/>
        </w:rPr>
        <w:t>субфактора</w:t>
      </w:r>
      <w:proofErr w:type="spellEnd"/>
      <w:r>
        <w:rPr>
          <w:color w:val="000000"/>
          <w:sz w:val="28"/>
          <w:szCs w:val="28"/>
        </w:rPr>
        <w:t xml:space="preserve"> «Органы управления» фактора «Кадры» определяется следующим образом: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2290"/>
        <w:gridCol w:w="2501"/>
        <w:gridCol w:w="2119"/>
      </w:tblGrid>
      <w:tr w:rsidR="003000B7" w:rsidTr="003000B7">
        <w:tc>
          <w:tcPr>
            <w:tcW w:w="1318" w:type="pct"/>
            <w:tcBorders>
              <w:top w:val="single" w:sz="4" w:space="0" w:color="auto"/>
              <w:left w:val="single" w:sz="4" w:space="0" w:color="auto"/>
              <w:bottom w:val="single" w:sz="4" w:space="0" w:color="auto"/>
              <w:right w:val="single" w:sz="4" w:space="0" w:color="auto"/>
            </w:tcBorders>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Уровень образования</w:t>
            </w:r>
          </w:p>
        </w:tc>
        <w:tc>
          <w:tcPr>
            <w:tcW w:w="1180" w:type="pct"/>
            <w:tcBorders>
              <w:top w:val="single" w:sz="4" w:space="0" w:color="auto"/>
              <w:left w:val="single" w:sz="4" w:space="0" w:color="auto"/>
              <w:bottom w:val="single" w:sz="4" w:space="0" w:color="auto"/>
              <w:right w:val="single" w:sz="4" w:space="0" w:color="auto"/>
            </w:tcBorders>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Отсутствие средне-специального образования и отсутствие высшего образования</w:t>
            </w:r>
          </w:p>
        </w:tc>
        <w:tc>
          <w:tcPr>
            <w:tcW w:w="1353" w:type="pct"/>
            <w:tcBorders>
              <w:top w:val="single" w:sz="4" w:space="0" w:color="auto"/>
              <w:left w:val="single" w:sz="4" w:space="0" w:color="auto"/>
              <w:bottom w:val="single" w:sz="4" w:space="0" w:color="auto"/>
              <w:right w:val="single" w:sz="4" w:space="0" w:color="auto"/>
            </w:tcBorders>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Наличие средне-специального образования и отсутствие высшего образования</w:t>
            </w:r>
          </w:p>
        </w:tc>
        <w:tc>
          <w:tcPr>
            <w:tcW w:w="1150" w:type="pct"/>
            <w:tcBorders>
              <w:top w:val="single" w:sz="4" w:space="0" w:color="auto"/>
              <w:left w:val="single" w:sz="4" w:space="0" w:color="auto"/>
              <w:bottom w:val="single" w:sz="4" w:space="0" w:color="auto"/>
              <w:right w:val="single" w:sz="4" w:space="0" w:color="auto"/>
            </w:tcBorders>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Наличие высшего образования и отсутствие средне-специального образования</w:t>
            </w:r>
          </w:p>
        </w:tc>
      </w:tr>
      <w:tr w:rsidR="003000B7" w:rsidTr="003000B7">
        <w:tc>
          <w:tcPr>
            <w:tcW w:w="1318" w:type="pct"/>
            <w:tcBorders>
              <w:top w:val="single" w:sz="4" w:space="0" w:color="auto"/>
              <w:left w:val="single" w:sz="4" w:space="0" w:color="auto"/>
              <w:bottom w:val="single" w:sz="4" w:space="0" w:color="auto"/>
              <w:right w:val="single" w:sz="4" w:space="0" w:color="auto"/>
            </w:tcBorders>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Кол-во присуждаемых баллов</w:t>
            </w:r>
          </w:p>
        </w:tc>
        <w:tc>
          <w:tcPr>
            <w:tcW w:w="1180" w:type="pct"/>
            <w:tcBorders>
              <w:top w:val="single" w:sz="4" w:space="0" w:color="auto"/>
              <w:left w:val="single" w:sz="4" w:space="0" w:color="auto"/>
              <w:bottom w:val="single" w:sz="4" w:space="0" w:color="auto"/>
              <w:right w:val="single" w:sz="4" w:space="0" w:color="auto"/>
            </w:tcBorders>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0</w:t>
            </w:r>
          </w:p>
        </w:tc>
        <w:tc>
          <w:tcPr>
            <w:tcW w:w="1353" w:type="pct"/>
            <w:tcBorders>
              <w:top w:val="single" w:sz="4" w:space="0" w:color="auto"/>
              <w:left w:val="single" w:sz="4" w:space="0" w:color="auto"/>
              <w:bottom w:val="single" w:sz="4" w:space="0" w:color="auto"/>
              <w:right w:val="single" w:sz="4" w:space="0" w:color="auto"/>
            </w:tcBorders>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50</w:t>
            </w:r>
          </w:p>
        </w:tc>
        <w:tc>
          <w:tcPr>
            <w:tcW w:w="1150" w:type="pct"/>
            <w:tcBorders>
              <w:top w:val="single" w:sz="4" w:space="0" w:color="auto"/>
              <w:left w:val="single" w:sz="4" w:space="0" w:color="auto"/>
              <w:bottom w:val="single" w:sz="4" w:space="0" w:color="auto"/>
              <w:right w:val="single" w:sz="4" w:space="0" w:color="auto"/>
            </w:tcBorders>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100</w:t>
            </w:r>
          </w:p>
        </w:tc>
      </w:tr>
    </w:tbl>
    <w:p w:rsidR="003000B7" w:rsidRDefault="003000B7" w:rsidP="003000B7">
      <w:pPr>
        <w:tabs>
          <w:tab w:val="left" w:pos="0"/>
        </w:tabs>
        <w:ind w:firstLine="709"/>
        <w:jc w:val="both"/>
        <w:rPr>
          <w:color w:val="000000"/>
          <w:sz w:val="28"/>
          <w:szCs w:val="28"/>
        </w:rPr>
      </w:pPr>
      <w:r>
        <w:rPr>
          <w:color w:val="000000"/>
          <w:sz w:val="28"/>
          <w:szCs w:val="28"/>
        </w:rPr>
        <w:t xml:space="preserve">В рамках показателя «Деловая репутация участника конкурса»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стаж генерального директора в рамках Х3.1.2 </w:t>
      </w:r>
      <w:proofErr w:type="spellStart"/>
      <w:r>
        <w:rPr>
          <w:color w:val="000000"/>
          <w:sz w:val="28"/>
          <w:szCs w:val="28"/>
        </w:rPr>
        <w:t>субфактора</w:t>
      </w:r>
      <w:proofErr w:type="spellEnd"/>
      <w:r>
        <w:rPr>
          <w:color w:val="000000"/>
          <w:sz w:val="28"/>
          <w:szCs w:val="28"/>
        </w:rPr>
        <w:t xml:space="preserve"> «Органы управления» фактора «Кадры» определяется следующим образом:</w:t>
      </w:r>
    </w:p>
    <w:p w:rsidR="003000B7" w:rsidRDefault="003000B7" w:rsidP="003000B7">
      <w:pPr>
        <w:tabs>
          <w:tab w:val="left" w:pos="0"/>
        </w:tabs>
        <w:ind w:firstLine="709"/>
        <w:jc w:val="both"/>
        <w:rPr>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1065"/>
        <w:gridCol w:w="2115"/>
        <w:gridCol w:w="2115"/>
        <w:gridCol w:w="1345"/>
      </w:tblGrid>
      <w:tr w:rsidR="003000B7" w:rsidTr="003000B7">
        <w:tc>
          <w:tcPr>
            <w:tcW w:w="1630" w:type="pct"/>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 xml:space="preserve">Стаж </w:t>
            </w:r>
          </w:p>
        </w:tc>
        <w:tc>
          <w:tcPr>
            <w:tcW w:w="630" w:type="pct"/>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jc w:val="both"/>
              <w:rPr>
                <w:color w:val="000000"/>
                <w:sz w:val="28"/>
                <w:szCs w:val="28"/>
                <w:lang w:eastAsia="en-US"/>
              </w:rPr>
            </w:pPr>
            <w:r>
              <w:rPr>
                <w:color w:val="000000"/>
                <w:sz w:val="28"/>
                <w:szCs w:val="28"/>
                <w:lang w:eastAsia="en-US"/>
              </w:rPr>
              <w:t>менее  1 года</w:t>
            </w:r>
          </w:p>
        </w:tc>
        <w:tc>
          <w:tcPr>
            <w:tcW w:w="915" w:type="pct"/>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От 1 года (включительно) до 2 лет (включительно)</w:t>
            </w:r>
          </w:p>
        </w:tc>
        <w:tc>
          <w:tcPr>
            <w:tcW w:w="914" w:type="pct"/>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От 3 лет (включительно) до 4 лет (включительно)</w:t>
            </w:r>
          </w:p>
        </w:tc>
        <w:tc>
          <w:tcPr>
            <w:tcW w:w="910" w:type="pct"/>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5 лет и более</w:t>
            </w:r>
          </w:p>
        </w:tc>
      </w:tr>
      <w:tr w:rsidR="003000B7" w:rsidTr="003000B7">
        <w:tc>
          <w:tcPr>
            <w:tcW w:w="1630" w:type="pct"/>
            <w:tcBorders>
              <w:top w:val="single" w:sz="4" w:space="0" w:color="auto"/>
              <w:left w:val="single" w:sz="4" w:space="0" w:color="auto"/>
              <w:bottom w:val="single" w:sz="4" w:space="0" w:color="auto"/>
              <w:right w:val="single" w:sz="4" w:space="0" w:color="auto"/>
            </w:tcBorders>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Кол-во присуждаемых баллов</w:t>
            </w:r>
          </w:p>
        </w:tc>
        <w:tc>
          <w:tcPr>
            <w:tcW w:w="630" w:type="pct"/>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0</w:t>
            </w:r>
          </w:p>
        </w:tc>
        <w:tc>
          <w:tcPr>
            <w:tcW w:w="915" w:type="pct"/>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10</w:t>
            </w:r>
          </w:p>
        </w:tc>
        <w:tc>
          <w:tcPr>
            <w:tcW w:w="914" w:type="pct"/>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60</w:t>
            </w:r>
          </w:p>
        </w:tc>
        <w:tc>
          <w:tcPr>
            <w:tcW w:w="910" w:type="pct"/>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100</w:t>
            </w:r>
          </w:p>
        </w:tc>
      </w:tr>
    </w:tbl>
    <w:p w:rsidR="003000B7" w:rsidRDefault="003000B7" w:rsidP="003000B7">
      <w:pPr>
        <w:tabs>
          <w:tab w:val="left" w:pos="0"/>
        </w:tabs>
        <w:ind w:firstLine="709"/>
        <w:jc w:val="both"/>
        <w:rPr>
          <w:color w:val="000000"/>
          <w:sz w:val="28"/>
          <w:szCs w:val="28"/>
        </w:rPr>
      </w:pPr>
      <w:r>
        <w:rPr>
          <w:color w:val="000000"/>
          <w:sz w:val="28"/>
          <w:szCs w:val="28"/>
        </w:rPr>
        <w:t xml:space="preserve">В рамках показателя «Деловая репутация участника конкурса»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по </w:t>
      </w:r>
      <w:proofErr w:type="spellStart"/>
      <w:r>
        <w:rPr>
          <w:color w:val="000000"/>
          <w:sz w:val="28"/>
          <w:szCs w:val="28"/>
        </w:rPr>
        <w:t>субфактору</w:t>
      </w:r>
      <w:proofErr w:type="spellEnd"/>
      <w:r>
        <w:rPr>
          <w:color w:val="000000"/>
          <w:sz w:val="28"/>
          <w:szCs w:val="28"/>
        </w:rPr>
        <w:t xml:space="preserve"> «Органы управления» фактора «Кадры» для подтверждения наличия сотрудника участнику закупки необходимо предоставить копии следующих документов: </w:t>
      </w:r>
      <w:r>
        <w:rPr>
          <w:color w:val="000000"/>
          <w:sz w:val="28"/>
          <w:szCs w:val="28"/>
        </w:rPr>
        <w:lastRenderedPageBreak/>
        <w:t>действующего штатного расписания участника закупки, трудовая книжка, трудовой договор, приказ о назначении на должность руководящего состава.</w:t>
      </w:r>
    </w:p>
    <w:p w:rsidR="003000B7" w:rsidRDefault="003000B7" w:rsidP="003000B7">
      <w:pPr>
        <w:tabs>
          <w:tab w:val="left" w:pos="0"/>
        </w:tabs>
        <w:ind w:firstLine="709"/>
        <w:jc w:val="both"/>
        <w:rPr>
          <w:color w:val="000000"/>
          <w:sz w:val="28"/>
          <w:szCs w:val="28"/>
        </w:rPr>
      </w:pPr>
      <w:r>
        <w:rPr>
          <w:color w:val="000000"/>
          <w:sz w:val="28"/>
          <w:szCs w:val="28"/>
        </w:rPr>
        <w:t xml:space="preserve">В рамках показателя «Деловая репутация участника конкурса»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в случае, если в соответствии с приказом </w:t>
      </w:r>
      <w:proofErr w:type="spellStart"/>
      <w:r>
        <w:rPr>
          <w:color w:val="000000"/>
          <w:sz w:val="28"/>
          <w:szCs w:val="28"/>
        </w:rPr>
        <w:t>Минздравсоцразвития</w:t>
      </w:r>
      <w:proofErr w:type="spellEnd"/>
      <w:r>
        <w:rPr>
          <w:color w:val="000000"/>
          <w:sz w:val="28"/>
          <w:szCs w:val="28"/>
        </w:rPr>
        <w:t xml:space="preserve"> России от 12.04.2011 N 302н (ред. от 06.02.2018)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сотрудник должен иметь личную медицинскую книжку, то участник закупки в состав заявки также должен приложить копию медицинской книжки, действующей на дату окончания срока подачи заявок на участие в настоящем конкурсе.</w:t>
      </w:r>
    </w:p>
    <w:p w:rsidR="003000B7" w:rsidRDefault="003000B7" w:rsidP="003000B7">
      <w:pPr>
        <w:tabs>
          <w:tab w:val="left" w:pos="0"/>
        </w:tabs>
        <w:ind w:firstLine="709"/>
        <w:jc w:val="both"/>
        <w:rPr>
          <w:color w:val="000000"/>
          <w:sz w:val="28"/>
          <w:szCs w:val="28"/>
        </w:rPr>
      </w:pPr>
      <w:r>
        <w:rPr>
          <w:color w:val="000000"/>
          <w:sz w:val="28"/>
          <w:szCs w:val="28"/>
        </w:rPr>
        <w:t>В рамках показателя «Деловая репутация участника конкурса»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в случае предоставления в составе заявки копий документов, подтверждающих наличие у участника закупки трудовых ресурсов, то участнику закупки также необходимо предоставить в составе заявки копии должностных инструкций.</w:t>
      </w:r>
    </w:p>
    <w:p w:rsidR="003000B7" w:rsidRDefault="003000B7" w:rsidP="003000B7">
      <w:pPr>
        <w:tabs>
          <w:tab w:val="left" w:pos="0"/>
        </w:tabs>
        <w:ind w:firstLine="709"/>
        <w:jc w:val="both"/>
        <w:rPr>
          <w:color w:val="000000"/>
          <w:sz w:val="28"/>
          <w:szCs w:val="28"/>
        </w:rPr>
      </w:pPr>
      <w:r>
        <w:rPr>
          <w:color w:val="000000"/>
          <w:sz w:val="28"/>
          <w:szCs w:val="28"/>
        </w:rPr>
        <w:t xml:space="preserve">В рамках показателя «Деловая репутация участника конкурса»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по </w:t>
      </w:r>
      <w:proofErr w:type="spellStart"/>
      <w:r>
        <w:rPr>
          <w:color w:val="000000"/>
          <w:sz w:val="28"/>
          <w:szCs w:val="28"/>
        </w:rPr>
        <w:t>субфактору</w:t>
      </w:r>
      <w:proofErr w:type="spellEnd"/>
      <w:r>
        <w:rPr>
          <w:color w:val="000000"/>
          <w:sz w:val="28"/>
          <w:szCs w:val="28"/>
        </w:rPr>
        <w:t xml:space="preserve"> «Органы управления» фактора «Кадры» наличие образование у сотрудника подтверждается копией диплома о высшем или среднем-специальном образовании.</w:t>
      </w:r>
    </w:p>
    <w:p w:rsidR="003000B7" w:rsidRDefault="003000B7" w:rsidP="003000B7">
      <w:pPr>
        <w:tabs>
          <w:tab w:val="left" w:pos="0"/>
        </w:tabs>
        <w:ind w:firstLine="709"/>
        <w:jc w:val="both"/>
        <w:rPr>
          <w:color w:val="000000"/>
          <w:sz w:val="28"/>
          <w:szCs w:val="28"/>
        </w:rPr>
      </w:pPr>
      <w:r>
        <w:rPr>
          <w:color w:val="000000"/>
          <w:sz w:val="28"/>
          <w:szCs w:val="28"/>
        </w:rPr>
        <w:t xml:space="preserve">В рамках показателя «Деловая репутация участника конкурса»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w:t>
      </w:r>
      <w:r>
        <w:rPr>
          <w:color w:val="000000"/>
          <w:sz w:val="28"/>
          <w:szCs w:val="28"/>
        </w:rPr>
        <w:lastRenderedPageBreak/>
        <w:t xml:space="preserve">работников определенного уровня квалификации» значение </w:t>
      </w:r>
      <w:proofErr w:type="spellStart"/>
      <w:r>
        <w:rPr>
          <w:color w:val="000000"/>
          <w:sz w:val="28"/>
          <w:szCs w:val="28"/>
        </w:rPr>
        <w:t>субфактора</w:t>
      </w:r>
      <w:proofErr w:type="spellEnd"/>
      <w:r>
        <w:rPr>
          <w:color w:val="000000"/>
          <w:sz w:val="28"/>
          <w:szCs w:val="28"/>
        </w:rPr>
        <w:t xml:space="preserve"> Х3.2 характеризует обеспеченность участника закупки сотрудниками среднего звена и определяется следующим образом: Х3.2=Х3.2.1*D3.2.1, где Х3.2.1 – количество присуждаемых баллов за наличие определенных трудовых ресурсов, D3.2.1 – коэффициент значимости Х3.2.1, равный «1».</w:t>
      </w:r>
    </w:p>
    <w:p w:rsidR="003000B7" w:rsidRDefault="003000B7" w:rsidP="003000B7">
      <w:pPr>
        <w:tabs>
          <w:tab w:val="left" w:pos="0"/>
        </w:tabs>
        <w:ind w:firstLine="709"/>
        <w:jc w:val="both"/>
        <w:rPr>
          <w:color w:val="000000"/>
          <w:sz w:val="28"/>
          <w:szCs w:val="28"/>
        </w:rPr>
      </w:pPr>
      <w:r>
        <w:rPr>
          <w:color w:val="000000"/>
          <w:sz w:val="28"/>
          <w:szCs w:val="28"/>
        </w:rPr>
        <w:t xml:space="preserve">В рамках показателя «Деловая репутация участника конкурса»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по </w:t>
      </w:r>
      <w:proofErr w:type="spellStart"/>
      <w:r>
        <w:rPr>
          <w:color w:val="000000"/>
          <w:sz w:val="28"/>
          <w:szCs w:val="28"/>
        </w:rPr>
        <w:t>субфактору</w:t>
      </w:r>
      <w:proofErr w:type="spellEnd"/>
      <w:r>
        <w:rPr>
          <w:color w:val="000000"/>
          <w:sz w:val="28"/>
          <w:szCs w:val="28"/>
        </w:rPr>
        <w:t xml:space="preserve"> «Среднее звено» фактора «Кадры» под сотрудниками среднего звена понимаются сотрудники в должностях: «водитель», «водитель-экспедитор», «экспедитор», «заведующий складом» («начальник склада»), «грузчик», «кладовщик», «товаровед».</w:t>
      </w:r>
    </w:p>
    <w:p w:rsidR="003000B7" w:rsidRDefault="003000B7" w:rsidP="003000B7">
      <w:pPr>
        <w:tabs>
          <w:tab w:val="left" w:pos="0"/>
        </w:tabs>
        <w:ind w:firstLine="709"/>
        <w:jc w:val="both"/>
        <w:rPr>
          <w:color w:val="000000"/>
          <w:sz w:val="28"/>
          <w:szCs w:val="28"/>
        </w:rPr>
      </w:pPr>
      <w:r>
        <w:rPr>
          <w:color w:val="000000"/>
          <w:sz w:val="28"/>
          <w:szCs w:val="28"/>
        </w:rPr>
        <w:t xml:space="preserve">В рамках показателя «Деловая репутация участника конкурса»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Х3.2.1 </w:t>
      </w:r>
      <w:proofErr w:type="spellStart"/>
      <w:r>
        <w:rPr>
          <w:color w:val="000000"/>
          <w:sz w:val="28"/>
          <w:szCs w:val="28"/>
        </w:rPr>
        <w:t>субфактора</w:t>
      </w:r>
      <w:proofErr w:type="spellEnd"/>
      <w:r>
        <w:rPr>
          <w:color w:val="000000"/>
          <w:sz w:val="28"/>
          <w:szCs w:val="28"/>
        </w:rPr>
        <w:t xml:space="preserve"> «Среднее звено» фактора «Кадры» определяется следующим образом: </w:t>
      </w:r>
    </w:p>
    <w:tbl>
      <w:tblPr>
        <w:tblW w:w="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6657"/>
        <w:gridCol w:w="1844"/>
      </w:tblGrid>
      <w:tr w:rsidR="003000B7" w:rsidTr="003000B7">
        <w:trPr>
          <w:trHeight w:val="724"/>
        </w:trPr>
        <w:tc>
          <w:tcPr>
            <w:tcW w:w="1418" w:type="dxa"/>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jc w:val="both"/>
              <w:rPr>
                <w:color w:val="000000"/>
                <w:sz w:val="28"/>
                <w:szCs w:val="28"/>
                <w:lang w:eastAsia="en-US"/>
              </w:rPr>
            </w:pPr>
            <w:r>
              <w:rPr>
                <w:color w:val="000000"/>
                <w:sz w:val="28"/>
                <w:szCs w:val="28"/>
                <w:lang w:eastAsia="en-US"/>
              </w:rPr>
              <w:t>Уровень шкалы</w:t>
            </w:r>
          </w:p>
        </w:tc>
        <w:tc>
          <w:tcPr>
            <w:tcW w:w="6657" w:type="dxa"/>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Значение показателя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Кол-во присуждаемых баллов</w:t>
            </w:r>
          </w:p>
        </w:tc>
      </w:tr>
      <w:tr w:rsidR="003000B7" w:rsidTr="003000B7">
        <w:trPr>
          <w:trHeight w:val="395"/>
        </w:trPr>
        <w:tc>
          <w:tcPr>
            <w:tcW w:w="1418" w:type="dxa"/>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1.</w:t>
            </w:r>
          </w:p>
        </w:tc>
        <w:tc>
          <w:tcPr>
            <w:tcW w:w="6657" w:type="dxa"/>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Сведения не представлены и/или не соответствуют требованиям настоящего пункта конкурсной документации</w:t>
            </w:r>
          </w:p>
        </w:tc>
        <w:tc>
          <w:tcPr>
            <w:tcW w:w="1844" w:type="dxa"/>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0 баллов</w:t>
            </w:r>
          </w:p>
        </w:tc>
      </w:tr>
      <w:tr w:rsidR="003000B7" w:rsidTr="003000B7">
        <w:trPr>
          <w:trHeight w:val="237"/>
        </w:trPr>
        <w:tc>
          <w:tcPr>
            <w:tcW w:w="1418" w:type="dxa"/>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2.</w:t>
            </w:r>
          </w:p>
        </w:tc>
        <w:tc>
          <w:tcPr>
            <w:tcW w:w="6657" w:type="dxa"/>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Представлены сведения и документы о наличии в штате участника закупки следующих сотрудников:</w:t>
            </w:r>
          </w:p>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 xml:space="preserve">1) не менее 1-го сотрудника в должности «водитель» или «водитель-экспедитор», имеющего опыт работы в указанной должности не менее 1-го года; </w:t>
            </w:r>
          </w:p>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2) не менее 1-го сотрудника в должности «заведующий складом» или «начальник склада»;</w:t>
            </w:r>
          </w:p>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3) не менее 1-го сотрудника в должности «кладовщик», имеющего опыт работы в указанной должности не менее 1-го года;</w:t>
            </w:r>
          </w:p>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lastRenderedPageBreak/>
              <w:t>4) не менее 1-го сотрудника в должности «товаровед», имеющего опыт работы в указанной должности не менее 1-го года.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lastRenderedPageBreak/>
              <w:t>50 баллов</w:t>
            </w:r>
          </w:p>
        </w:tc>
      </w:tr>
      <w:tr w:rsidR="003000B7" w:rsidTr="003000B7">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3.</w:t>
            </w:r>
          </w:p>
        </w:tc>
        <w:tc>
          <w:tcPr>
            <w:tcW w:w="6657" w:type="dxa"/>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Представлены сведения и документы о наличии в штате участника закупки следующих сотрудников:</w:t>
            </w:r>
          </w:p>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 xml:space="preserve">1) не менее 1-го сотрудника в должности «водитель» или «водитель-экспедитор», имеющего опыт работы в указанной должности не менее 2-ух лет; </w:t>
            </w:r>
          </w:p>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2) не менее 1-го сотрудника в должности «заведующий складом» или «начальник склада»;</w:t>
            </w:r>
          </w:p>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3) не менее 1-го сотрудника в должности «кладовщик», имеющего опыт работы в указанной должности не менее 3-ех лет;</w:t>
            </w:r>
          </w:p>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4) не менее 1-го сотрудника в должности «товаровед», имеющего опыт работы в указанной должности не менее 3-ех лет.</w:t>
            </w:r>
          </w:p>
        </w:tc>
        <w:tc>
          <w:tcPr>
            <w:tcW w:w="1844" w:type="dxa"/>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100 баллов</w:t>
            </w:r>
          </w:p>
        </w:tc>
      </w:tr>
    </w:tbl>
    <w:p w:rsidR="003000B7" w:rsidRDefault="003000B7" w:rsidP="003000B7">
      <w:pPr>
        <w:tabs>
          <w:tab w:val="left" w:pos="0"/>
        </w:tabs>
        <w:ind w:firstLine="709"/>
        <w:jc w:val="both"/>
        <w:rPr>
          <w:color w:val="000000"/>
          <w:sz w:val="28"/>
          <w:szCs w:val="28"/>
        </w:rPr>
      </w:pPr>
      <w:r>
        <w:rPr>
          <w:color w:val="000000"/>
          <w:sz w:val="28"/>
          <w:szCs w:val="28"/>
        </w:rPr>
        <w:t xml:space="preserve">В рамках показателя «Деловая репутация участника конкурса»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по </w:t>
      </w:r>
      <w:proofErr w:type="spellStart"/>
      <w:r>
        <w:rPr>
          <w:color w:val="000000"/>
          <w:sz w:val="28"/>
          <w:szCs w:val="28"/>
        </w:rPr>
        <w:t>субфактору</w:t>
      </w:r>
      <w:proofErr w:type="spellEnd"/>
      <w:r>
        <w:rPr>
          <w:color w:val="000000"/>
          <w:sz w:val="28"/>
          <w:szCs w:val="28"/>
        </w:rPr>
        <w:t xml:space="preserve"> «Среднее звено» фактора «Кадры» для подтверждения наличия сотрудника участнику закупки необходимо предоставить копии следующих документов: штатного расписания участника; трудовой книжки, подтверждающей факт наличия трудовых отношений между сотрудником и участником закупки (работодателем) и опыт работы такого сотрудника; приказа о приеме на работу, подтверждающего факт принятия сотрудника на работу.</w:t>
      </w:r>
    </w:p>
    <w:p w:rsidR="003000B7" w:rsidRDefault="003000B7" w:rsidP="003000B7">
      <w:pPr>
        <w:tabs>
          <w:tab w:val="left" w:pos="0"/>
        </w:tabs>
        <w:ind w:firstLine="709"/>
        <w:jc w:val="both"/>
        <w:rPr>
          <w:color w:val="000000"/>
          <w:sz w:val="28"/>
          <w:szCs w:val="28"/>
        </w:rPr>
      </w:pPr>
      <w:r>
        <w:rPr>
          <w:color w:val="000000"/>
          <w:sz w:val="28"/>
          <w:szCs w:val="28"/>
        </w:rPr>
        <w:t xml:space="preserve">В рамках показателя «Деловая репутация участника конкурса»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фактор «Имидж» определяют по выражению: Х4=Х4.1*D4.1, где Х4.1 – </w:t>
      </w:r>
      <w:proofErr w:type="spellStart"/>
      <w:r>
        <w:rPr>
          <w:color w:val="000000"/>
          <w:sz w:val="28"/>
          <w:szCs w:val="28"/>
        </w:rPr>
        <w:t>субфактор</w:t>
      </w:r>
      <w:proofErr w:type="spellEnd"/>
      <w:r>
        <w:rPr>
          <w:color w:val="000000"/>
          <w:sz w:val="28"/>
          <w:szCs w:val="28"/>
        </w:rPr>
        <w:t xml:space="preserve"> фактора «Имидж», D4.1 – коэффициент значимости </w:t>
      </w:r>
      <w:proofErr w:type="spellStart"/>
      <w:r>
        <w:rPr>
          <w:color w:val="000000"/>
          <w:sz w:val="28"/>
          <w:szCs w:val="28"/>
        </w:rPr>
        <w:t>субфактора</w:t>
      </w:r>
      <w:proofErr w:type="spellEnd"/>
      <w:r>
        <w:rPr>
          <w:color w:val="000000"/>
          <w:sz w:val="28"/>
          <w:szCs w:val="28"/>
        </w:rPr>
        <w:t>, равный 1.</w:t>
      </w:r>
    </w:p>
    <w:p w:rsidR="003000B7" w:rsidRDefault="003000B7" w:rsidP="003000B7">
      <w:pPr>
        <w:tabs>
          <w:tab w:val="left" w:pos="0"/>
        </w:tabs>
        <w:ind w:firstLine="709"/>
        <w:jc w:val="both"/>
        <w:rPr>
          <w:color w:val="000000"/>
          <w:sz w:val="28"/>
          <w:szCs w:val="28"/>
        </w:rPr>
      </w:pPr>
      <w:r>
        <w:rPr>
          <w:color w:val="000000"/>
          <w:sz w:val="28"/>
          <w:szCs w:val="28"/>
        </w:rPr>
        <w:t xml:space="preserve">В рамках показателя «Деловая репутация участника конкурса» критерия «Квалификация участников закупки в том числе наличие у них финансовых ресурсов, оборудования и других материальных ресурсов, принадлежащих им </w:t>
      </w:r>
      <w:r>
        <w:rPr>
          <w:color w:val="000000"/>
          <w:sz w:val="28"/>
          <w:szCs w:val="28"/>
        </w:rPr>
        <w:lastRenderedPageBreak/>
        <w:t xml:space="preserve">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roofErr w:type="spellStart"/>
      <w:r>
        <w:rPr>
          <w:color w:val="000000"/>
          <w:sz w:val="28"/>
          <w:szCs w:val="28"/>
        </w:rPr>
        <w:t>субфактор</w:t>
      </w:r>
      <w:proofErr w:type="spellEnd"/>
      <w:r>
        <w:rPr>
          <w:color w:val="000000"/>
          <w:sz w:val="28"/>
          <w:szCs w:val="28"/>
        </w:rPr>
        <w:t xml:space="preserve"> Х4.1 «Благодарности» фактора «Имидж» выражен в наличии положительных отзывов/благодарственных писем, полученных участником закупки от государственных или муниципальных заказчиков за надлежаще исполненные контракты (договоры) на поставку продуктов питания, исполнение которых осуществлялось в период с 01.01.2016 по дату окончания срока подачи заявок на участие в настоящем конкурсе, и определяется следующим образом: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966"/>
        <w:gridCol w:w="2062"/>
        <w:gridCol w:w="2062"/>
        <w:gridCol w:w="887"/>
      </w:tblGrid>
      <w:tr w:rsidR="003000B7" w:rsidTr="003000B7">
        <w:tc>
          <w:tcPr>
            <w:tcW w:w="1572" w:type="pct"/>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Количество положительных отзывов/благодарственных писем</w:t>
            </w:r>
          </w:p>
        </w:tc>
        <w:tc>
          <w:tcPr>
            <w:tcW w:w="771" w:type="pct"/>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jc w:val="both"/>
              <w:rPr>
                <w:color w:val="000000"/>
                <w:sz w:val="28"/>
                <w:szCs w:val="28"/>
                <w:lang w:eastAsia="en-US"/>
              </w:rPr>
            </w:pPr>
            <w:r>
              <w:rPr>
                <w:color w:val="000000"/>
                <w:sz w:val="28"/>
                <w:szCs w:val="28"/>
                <w:lang w:eastAsia="en-US"/>
              </w:rPr>
              <w:t>Менее 9</w:t>
            </w:r>
          </w:p>
        </w:tc>
        <w:tc>
          <w:tcPr>
            <w:tcW w:w="961" w:type="pct"/>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jc w:val="both"/>
              <w:rPr>
                <w:color w:val="000000"/>
                <w:sz w:val="28"/>
                <w:szCs w:val="28"/>
                <w:lang w:eastAsia="en-US"/>
              </w:rPr>
            </w:pPr>
            <w:r>
              <w:rPr>
                <w:color w:val="000000"/>
                <w:sz w:val="28"/>
                <w:szCs w:val="28"/>
                <w:lang w:eastAsia="en-US"/>
              </w:rPr>
              <w:t>От 9 (включительно) до 14 (включительно)</w:t>
            </w:r>
          </w:p>
        </w:tc>
        <w:tc>
          <w:tcPr>
            <w:tcW w:w="961" w:type="pct"/>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jc w:val="both"/>
              <w:rPr>
                <w:color w:val="000000"/>
                <w:sz w:val="28"/>
                <w:szCs w:val="28"/>
                <w:lang w:eastAsia="en-US"/>
              </w:rPr>
            </w:pPr>
            <w:r>
              <w:rPr>
                <w:color w:val="000000"/>
                <w:sz w:val="28"/>
                <w:szCs w:val="28"/>
                <w:lang w:eastAsia="en-US"/>
              </w:rPr>
              <w:t>От 15 (включительно)</w:t>
            </w:r>
          </w:p>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До 20 (включительно)</w:t>
            </w:r>
          </w:p>
        </w:tc>
        <w:tc>
          <w:tcPr>
            <w:tcW w:w="734" w:type="pct"/>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jc w:val="both"/>
              <w:rPr>
                <w:color w:val="000000"/>
                <w:sz w:val="28"/>
                <w:szCs w:val="28"/>
                <w:lang w:eastAsia="en-US"/>
              </w:rPr>
            </w:pPr>
            <w:r>
              <w:rPr>
                <w:color w:val="000000"/>
                <w:sz w:val="28"/>
                <w:szCs w:val="28"/>
                <w:lang w:eastAsia="en-US"/>
              </w:rPr>
              <w:t>Более 20</w:t>
            </w:r>
          </w:p>
        </w:tc>
      </w:tr>
      <w:tr w:rsidR="003000B7" w:rsidTr="003000B7">
        <w:tc>
          <w:tcPr>
            <w:tcW w:w="1572" w:type="pct"/>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ind w:firstLine="709"/>
              <w:jc w:val="both"/>
              <w:rPr>
                <w:color w:val="000000"/>
                <w:sz w:val="28"/>
                <w:szCs w:val="28"/>
                <w:lang w:eastAsia="en-US"/>
              </w:rPr>
            </w:pPr>
            <w:r>
              <w:rPr>
                <w:color w:val="000000"/>
                <w:sz w:val="28"/>
                <w:szCs w:val="28"/>
                <w:lang w:eastAsia="en-US"/>
              </w:rPr>
              <w:t xml:space="preserve">Значение </w:t>
            </w:r>
            <w:proofErr w:type="spellStart"/>
            <w:r>
              <w:rPr>
                <w:color w:val="000000"/>
                <w:sz w:val="28"/>
                <w:szCs w:val="28"/>
                <w:lang w:eastAsia="en-US"/>
              </w:rPr>
              <w:t>субфактора</w:t>
            </w:r>
            <w:proofErr w:type="spellEnd"/>
            <w:r>
              <w:rPr>
                <w:color w:val="000000"/>
                <w:sz w:val="28"/>
                <w:szCs w:val="28"/>
                <w:lang w:eastAsia="en-US"/>
              </w:rPr>
              <w:t xml:space="preserve"> Х4.1 в баллах</w:t>
            </w:r>
          </w:p>
        </w:tc>
        <w:tc>
          <w:tcPr>
            <w:tcW w:w="771" w:type="pct"/>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jc w:val="both"/>
              <w:rPr>
                <w:color w:val="000000"/>
                <w:sz w:val="28"/>
                <w:szCs w:val="28"/>
                <w:lang w:eastAsia="en-US"/>
              </w:rPr>
            </w:pPr>
            <w:r>
              <w:rPr>
                <w:color w:val="000000"/>
                <w:sz w:val="28"/>
                <w:szCs w:val="28"/>
                <w:lang w:eastAsia="en-US"/>
              </w:rPr>
              <w:t>0</w:t>
            </w:r>
          </w:p>
        </w:tc>
        <w:tc>
          <w:tcPr>
            <w:tcW w:w="961" w:type="pct"/>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jc w:val="both"/>
              <w:rPr>
                <w:color w:val="000000"/>
                <w:sz w:val="28"/>
                <w:szCs w:val="28"/>
                <w:lang w:eastAsia="en-US"/>
              </w:rPr>
            </w:pPr>
            <w:r>
              <w:rPr>
                <w:color w:val="000000"/>
                <w:sz w:val="28"/>
                <w:szCs w:val="28"/>
                <w:lang w:eastAsia="en-US"/>
              </w:rPr>
              <w:t>20</w:t>
            </w:r>
          </w:p>
        </w:tc>
        <w:tc>
          <w:tcPr>
            <w:tcW w:w="961" w:type="pct"/>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jc w:val="both"/>
              <w:rPr>
                <w:color w:val="000000"/>
                <w:sz w:val="28"/>
                <w:szCs w:val="28"/>
                <w:lang w:eastAsia="en-US"/>
              </w:rPr>
            </w:pPr>
            <w:r>
              <w:rPr>
                <w:color w:val="000000"/>
                <w:sz w:val="28"/>
                <w:szCs w:val="28"/>
                <w:lang w:eastAsia="en-US"/>
              </w:rPr>
              <w:t>60</w:t>
            </w:r>
          </w:p>
        </w:tc>
        <w:tc>
          <w:tcPr>
            <w:tcW w:w="734" w:type="pct"/>
            <w:tcBorders>
              <w:top w:val="single" w:sz="4" w:space="0" w:color="auto"/>
              <w:left w:val="single" w:sz="4" w:space="0" w:color="auto"/>
              <w:bottom w:val="single" w:sz="4" w:space="0" w:color="auto"/>
              <w:right w:val="single" w:sz="4" w:space="0" w:color="auto"/>
            </w:tcBorders>
            <w:vAlign w:val="center"/>
            <w:hideMark/>
          </w:tcPr>
          <w:p w:rsidR="003000B7" w:rsidRDefault="003000B7">
            <w:pPr>
              <w:tabs>
                <w:tab w:val="left" w:pos="0"/>
              </w:tabs>
              <w:spacing w:line="256" w:lineRule="auto"/>
              <w:jc w:val="both"/>
              <w:rPr>
                <w:color w:val="000000"/>
                <w:sz w:val="28"/>
                <w:szCs w:val="28"/>
                <w:lang w:eastAsia="en-US"/>
              </w:rPr>
            </w:pPr>
            <w:r>
              <w:rPr>
                <w:color w:val="000000"/>
                <w:sz w:val="28"/>
                <w:szCs w:val="28"/>
                <w:lang w:eastAsia="en-US"/>
              </w:rPr>
              <w:t>100</w:t>
            </w:r>
          </w:p>
        </w:tc>
      </w:tr>
    </w:tbl>
    <w:p w:rsidR="003000B7" w:rsidRDefault="003000B7" w:rsidP="003000B7">
      <w:pPr>
        <w:tabs>
          <w:tab w:val="left" w:pos="0"/>
        </w:tabs>
        <w:ind w:firstLine="709"/>
        <w:jc w:val="both"/>
        <w:rPr>
          <w:color w:val="000000"/>
          <w:sz w:val="28"/>
          <w:szCs w:val="28"/>
        </w:rPr>
      </w:pPr>
      <w:r>
        <w:rPr>
          <w:color w:val="000000"/>
          <w:sz w:val="28"/>
          <w:szCs w:val="28"/>
        </w:rPr>
        <w:t>В рамках показателя «Деловая репутация участника конкурса»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в случае представления копии штатного расписания участника закупки, то такое штатное расписание должно содержать всю информацию, предусмотренную унифицированной формой № Т-3, утвержденной Постановлением Госкомстата России от 05.01.2004 N 1.</w:t>
      </w:r>
    </w:p>
    <w:p w:rsidR="003000B7" w:rsidRDefault="003000B7" w:rsidP="003000B7">
      <w:pPr>
        <w:tabs>
          <w:tab w:val="left" w:pos="0"/>
        </w:tabs>
        <w:ind w:firstLine="709"/>
        <w:jc w:val="both"/>
        <w:rPr>
          <w:color w:val="000000"/>
          <w:sz w:val="28"/>
          <w:szCs w:val="28"/>
        </w:rPr>
      </w:pPr>
      <w:r>
        <w:rPr>
          <w:color w:val="000000"/>
          <w:sz w:val="28"/>
          <w:szCs w:val="28"/>
        </w:rPr>
        <w:t xml:space="preserve">В рамках показателя «Деловая репутация участника конкурса»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в случае, если установлено требование  о предоставлении копий контрактов (договоров), то такие копии контрактов (договоров) должны быть приложены в состав заявки со всеми приложениями, изменениями, дополнительными соглашениями </w:t>
      </w:r>
      <w:r>
        <w:rPr>
          <w:color w:val="000000"/>
          <w:sz w:val="28"/>
          <w:szCs w:val="28"/>
        </w:rPr>
        <w:br/>
        <w:t>и документами, подтверждающими их исполнение, а в случае, если установлено требование  о предоставлении копий трудовых договоров, то такие договора должны быть приложены в состав заявки со всеми приложениями, изменениями и дополнительными соглашениями.</w:t>
      </w:r>
    </w:p>
    <w:p w:rsidR="003000B7" w:rsidRDefault="003000B7" w:rsidP="003000B7">
      <w:pPr>
        <w:tabs>
          <w:tab w:val="left" w:pos="0"/>
        </w:tabs>
        <w:ind w:firstLine="709"/>
        <w:jc w:val="both"/>
        <w:rPr>
          <w:color w:val="000000"/>
          <w:sz w:val="28"/>
          <w:szCs w:val="28"/>
        </w:rPr>
      </w:pPr>
      <w:r>
        <w:rPr>
          <w:color w:val="000000"/>
          <w:sz w:val="28"/>
          <w:szCs w:val="28"/>
        </w:rPr>
        <w:lastRenderedPageBreak/>
        <w:t xml:space="preserve">В рамках показателя «Деловая репутация участника конкурса»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по </w:t>
      </w:r>
      <w:proofErr w:type="spellStart"/>
      <w:r>
        <w:rPr>
          <w:color w:val="000000"/>
          <w:sz w:val="28"/>
          <w:szCs w:val="28"/>
        </w:rPr>
        <w:t>субфактору</w:t>
      </w:r>
      <w:proofErr w:type="spellEnd"/>
      <w:r>
        <w:rPr>
          <w:color w:val="000000"/>
          <w:sz w:val="28"/>
          <w:szCs w:val="28"/>
        </w:rPr>
        <w:t xml:space="preserve"> «Благодарности» фактора «Имидж» для подтверждения наличия положительных отзывов/благодарственных писем участнику закупки необходимо предоставить копии следующих документов: положительные отзывы/благодарственные письма, контракты (договоры), по результатам которых были выданы такие положительные отзывы/благодарственные письма.  </w:t>
      </w:r>
    </w:p>
    <w:p w:rsidR="003000B7" w:rsidRDefault="003000B7" w:rsidP="003000B7">
      <w:pPr>
        <w:tabs>
          <w:tab w:val="left" w:pos="0"/>
        </w:tabs>
        <w:ind w:firstLine="709"/>
        <w:jc w:val="both"/>
        <w:rPr>
          <w:color w:val="000000"/>
          <w:sz w:val="28"/>
          <w:szCs w:val="28"/>
        </w:rPr>
      </w:pPr>
      <w:r>
        <w:rPr>
          <w:color w:val="000000"/>
          <w:sz w:val="28"/>
          <w:szCs w:val="28"/>
        </w:rPr>
        <w:t>В рамках показателя «Деловая репутация участника конкурса»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при предоставлении каких-либо документов и информации участник закупки должен учитывать требования законодательства РФ, государственных стандартов об условиях хранения и транспортировки продуктов питания.</w:t>
      </w:r>
    </w:p>
    <w:p w:rsidR="003000B7" w:rsidRDefault="003000B7" w:rsidP="003000B7">
      <w:pPr>
        <w:tabs>
          <w:tab w:val="left" w:pos="0"/>
        </w:tabs>
        <w:ind w:firstLine="709"/>
        <w:jc w:val="both"/>
        <w:rPr>
          <w:color w:val="000000"/>
          <w:sz w:val="28"/>
          <w:szCs w:val="28"/>
        </w:rPr>
      </w:pPr>
      <w:r>
        <w:rPr>
          <w:color w:val="000000"/>
          <w:sz w:val="28"/>
          <w:szCs w:val="28"/>
        </w:rPr>
        <w:t xml:space="preserve">В рамках показателя «Деловая репутация участника конкурса»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по </w:t>
      </w:r>
      <w:proofErr w:type="spellStart"/>
      <w:r>
        <w:rPr>
          <w:color w:val="000000"/>
          <w:sz w:val="28"/>
          <w:szCs w:val="28"/>
        </w:rPr>
        <w:t>субфактору</w:t>
      </w:r>
      <w:proofErr w:type="spellEnd"/>
      <w:r>
        <w:rPr>
          <w:color w:val="000000"/>
          <w:sz w:val="28"/>
          <w:szCs w:val="28"/>
        </w:rPr>
        <w:t xml:space="preserve"> «Благодарности» фактора «Имидж» положительные отзывы/благодарственные письма на частичное исполнение услуг по контракту (договору) или полученные в количестве более одного за оказание услуг по одному и тому  же контракту (договору), для расчета баллов по </w:t>
      </w:r>
      <w:proofErr w:type="spellStart"/>
      <w:r>
        <w:rPr>
          <w:color w:val="000000"/>
          <w:sz w:val="28"/>
          <w:szCs w:val="28"/>
        </w:rPr>
        <w:t>субфактору</w:t>
      </w:r>
      <w:proofErr w:type="spellEnd"/>
      <w:r>
        <w:rPr>
          <w:color w:val="000000"/>
          <w:sz w:val="28"/>
          <w:szCs w:val="28"/>
        </w:rPr>
        <w:t xml:space="preserve"> «Благодарности» фактора «Имидж» показателя «Деловая репутация участника конкурса»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учитываться не будут. Если положительные отзывы/благодарственные письма выданы на </w:t>
      </w:r>
      <w:proofErr w:type="gramStart"/>
      <w:r>
        <w:rPr>
          <w:color w:val="000000"/>
          <w:sz w:val="28"/>
          <w:szCs w:val="28"/>
        </w:rPr>
        <w:t>несколько  контрактов</w:t>
      </w:r>
      <w:proofErr w:type="gramEnd"/>
      <w:r>
        <w:rPr>
          <w:color w:val="000000"/>
          <w:sz w:val="28"/>
          <w:szCs w:val="28"/>
        </w:rPr>
        <w:t xml:space="preserve"> (договоров), то конкурсная комиссия будет учитывать их как один положительный отзыв/благодарственное письмо, при условии, что они должны быть подтверждены копиями всех контрактов (договоров) </w:t>
      </w:r>
      <w:r>
        <w:rPr>
          <w:color w:val="000000"/>
          <w:sz w:val="28"/>
          <w:szCs w:val="28"/>
        </w:rPr>
        <w:lastRenderedPageBreak/>
        <w:t xml:space="preserve">содержащихся в них  и удовлетворяющих условиям настоящей конкурсной документации. </w:t>
      </w:r>
    </w:p>
    <w:p w:rsidR="003000B7" w:rsidRDefault="003000B7" w:rsidP="003000B7">
      <w:pPr>
        <w:tabs>
          <w:tab w:val="left" w:pos="0"/>
        </w:tabs>
        <w:ind w:firstLine="709"/>
        <w:jc w:val="both"/>
        <w:rPr>
          <w:color w:val="000000"/>
          <w:sz w:val="28"/>
          <w:szCs w:val="28"/>
        </w:rPr>
      </w:pPr>
      <w:r>
        <w:rPr>
          <w:color w:val="000000"/>
          <w:sz w:val="28"/>
          <w:szCs w:val="28"/>
        </w:rPr>
        <w:t xml:space="preserve">В рамках показателя «Деловая репутация участника конкурса»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по </w:t>
      </w:r>
      <w:proofErr w:type="spellStart"/>
      <w:r>
        <w:rPr>
          <w:color w:val="000000"/>
          <w:sz w:val="28"/>
          <w:szCs w:val="28"/>
        </w:rPr>
        <w:t>субфактору</w:t>
      </w:r>
      <w:proofErr w:type="spellEnd"/>
      <w:r>
        <w:rPr>
          <w:color w:val="000000"/>
          <w:sz w:val="28"/>
          <w:szCs w:val="28"/>
        </w:rPr>
        <w:t xml:space="preserve"> «Благодарности» фактора «Имидж» информация, содержащаяся в положительном отзыве/благодарственном письме должна содержать положительное мнение Заказчика в отношении участника закупки в части исполнения им обязательств по соответствующему контракту (договору), позволять идентифицировать контракт (договор) по результатам исполнения которого они выданы, организацию выдавшую положительный отзыв/благодарственное письмо и руководителя организации, подписавшего положительный отзыв/благодарственное письмо, в противном случае такой положительный отзыв/благодарственное письмо не будут учтены в целях начисления баллов по </w:t>
      </w:r>
      <w:proofErr w:type="spellStart"/>
      <w:r>
        <w:rPr>
          <w:color w:val="000000"/>
          <w:sz w:val="28"/>
          <w:szCs w:val="28"/>
        </w:rPr>
        <w:t>субфактору</w:t>
      </w:r>
      <w:proofErr w:type="spellEnd"/>
      <w:r>
        <w:rPr>
          <w:color w:val="000000"/>
          <w:sz w:val="28"/>
          <w:szCs w:val="28"/>
        </w:rPr>
        <w:t xml:space="preserve"> «Благодарности» фактора «Имидж» показателя «Деловая репутация участника конкурса»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3000B7" w:rsidRDefault="003000B7" w:rsidP="003000B7">
      <w:pPr>
        <w:tabs>
          <w:tab w:val="left" w:pos="0"/>
        </w:tabs>
        <w:ind w:firstLine="709"/>
        <w:jc w:val="both"/>
        <w:rPr>
          <w:color w:val="000000"/>
          <w:sz w:val="28"/>
          <w:szCs w:val="28"/>
        </w:rPr>
      </w:pPr>
      <w:r>
        <w:rPr>
          <w:color w:val="000000"/>
          <w:sz w:val="28"/>
          <w:szCs w:val="28"/>
        </w:rPr>
        <w:t xml:space="preserve">В случае, если в рамках показателя «Деловая репутация участника конкурса»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участник закупки предоставляет в составе заявки копии документов, подтверждающих наличие у участника закупки положительных отзывов/благодарственных, то в составе второй части заявки на участие в конкурсе также необходимо предоставить реестр исполненных контрактов (договоров), по результатам которых были выданы положительные отзывы, который в обязательном порядке должен содержать следующую информацию: сведения о номере и дате выдачи положительного отзыва/благодарственного письма, сведения о номерах, датах заключения и предметах контрактов (договоров), по результатам исполнения которых были выданы представленные положительные отзывы/благодарственные письма, а также следующую информацию о таких контрактах (договорах): сведения о наименованиях заказчиков и их идентификационных номерах </w:t>
      </w:r>
      <w:r>
        <w:rPr>
          <w:color w:val="000000"/>
          <w:sz w:val="28"/>
          <w:szCs w:val="28"/>
        </w:rPr>
        <w:lastRenderedPageBreak/>
        <w:t>налогоплательщиков; сведения о наименовании исполнителя (с учетом правопреемственности); сведения о ценах контрактов (договоров) в российских рублях; сведения о сроках исполнения контрактов (договоров); сведения о номерах записей исполненных контрактов (договоров) из реестра контрактов (при наличии). Такой реестр исполненных контрактов (договоров), по результатам которых были выданы положительные отзывы может быть оформлен в виде таблицы, содержащей все сведения в соответствии с настоящим пунктом общей части конкурсной документации.</w:t>
      </w:r>
    </w:p>
    <w:p w:rsidR="003000B7" w:rsidRDefault="003000B7" w:rsidP="003000B7">
      <w:pPr>
        <w:tabs>
          <w:tab w:val="left" w:pos="0"/>
        </w:tabs>
        <w:ind w:firstLine="709"/>
        <w:jc w:val="both"/>
        <w:rPr>
          <w:color w:val="000000"/>
          <w:sz w:val="28"/>
          <w:szCs w:val="28"/>
        </w:rPr>
      </w:pPr>
      <w:r>
        <w:rPr>
          <w:color w:val="000000"/>
          <w:sz w:val="28"/>
          <w:szCs w:val="28"/>
        </w:rPr>
        <w:t xml:space="preserve">Из содержания заявки Заявителя следует, что в рамках показателя «Деловая репутация участника конкурса»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по </w:t>
      </w:r>
      <w:proofErr w:type="spellStart"/>
      <w:r>
        <w:rPr>
          <w:color w:val="000000"/>
          <w:sz w:val="28"/>
          <w:szCs w:val="28"/>
        </w:rPr>
        <w:t>субфактору</w:t>
      </w:r>
      <w:proofErr w:type="spellEnd"/>
      <w:r>
        <w:rPr>
          <w:color w:val="000000"/>
          <w:sz w:val="28"/>
          <w:szCs w:val="28"/>
        </w:rPr>
        <w:t xml:space="preserve"> «Обеспеченность материально-техническими ресурсами» фактора «Средства» </w:t>
      </w:r>
      <w:r>
        <w:rPr>
          <w:color w:val="000000"/>
          <w:sz w:val="28"/>
          <w:szCs w:val="28"/>
        </w:rPr>
        <w:br/>
        <w:t>ООО «МАКСИМУС» представил подтверждающие документы в отношении 12 транспортных средств, в нарушение требований документации  не представлена копия инвентарной карточки учета объектов основных средств унифицированной формы ОС-6 к транспортному средству «Автофургон 172412», идентификационный номер Z74172412В0005021);</w:t>
      </w:r>
    </w:p>
    <w:p w:rsidR="003000B7" w:rsidRDefault="003000B7" w:rsidP="003000B7">
      <w:pPr>
        <w:tabs>
          <w:tab w:val="left" w:pos="0"/>
        </w:tabs>
        <w:ind w:firstLine="709"/>
        <w:jc w:val="both"/>
        <w:rPr>
          <w:color w:val="000000"/>
          <w:sz w:val="28"/>
          <w:szCs w:val="28"/>
        </w:rPr>
      </w:pPr>
      <w:r>
        <w:rPr>
          <w:color w:val="000000"/>
          <w:sz w:val="28"/>
          <w:szCs w:val="28"/>
        </w:rPr>
        <w:t xml:space="preserve">Таким образом, предложение ООО «МАКСИМУС» в рамках показателя «Деловая репутация участника конкурса»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по </w:t>
      </w:r>
      <w:proofErr w:type="spellStart"/>
      <w:r>
        <w:rPr>
          <w:color w:val="000000"/>
          <w:sz w:val="28"/>
          <w:szCs w:val="28"/>
        </w:rPr>
        <w:t>субфактору</w:t>
      </w:r>
      <w:proofErr w:type="spellEnd"/>
      <w:r>
        <w:rPr>
          <w:color w:val="000000"/>
          <w:sz w:val="28"/>
          <w:szCs w:val="28"/>
        </w:rPr>
        <w:t xml:space="preserve"> «Обеспеченность материально-техническими ресурсами» фактора «Средства» учтено как «материально-техническая база тип 2» (наличие не менее восьми транспортных средств, позволяющих осуществлять транспортировку продуктов всех иных продуктов питания, являющихся объектом настоящей закупки, среди которых не менее двух транспортных средств являются изотермическими транспортными средствами; </w:t>
      </w:r>
      <w:proofErr w:type="spellStart"/>
      <w:r>
        <w:rPr>
          <w:color w:val="000000"/>
          <w:sz w:val="28"/>
          <w:szCs w:val="28"/>
        </w:rPr>
        <w:t>весоизмерительного</w:t>
      </w:r>
      <w:proofErr w:type="spellEnd"/>
      <w:r>
        <w:rPr>
          <w:color w:val="000000"/>
          <w:sz w:val="28"/>
          <w:szCs w:val="28"/>
        </w:rPr>
        <w:t xml:space="preserve"> оборудования в составе: грузоподъемностью до 1000 кг в количестве не менее 1 шт., грузоподъемностью до 150 кг в количестве не менее 2 шт.,  грузоподъемностью до 50 кг в количестве не менее 2 шт.), соответственно количество присвоенных баллов – 20 по Фактору «Средства», вместо 40 возможных.</w:t>
      </w:r>
    </w:p>
    <w:p w:rsidR="003000B7" w:rsidRDefault="003000B7" w:rsidP="003000B7">
      <w:pPr>
        <w:tabs>
          <w:tab w:val="left" w:pos="0"/>
        </w:tabs>
        <w:ind w:firstLine="709"/>
        <w:jc w:val="both"/>
        <w:rPr>
          <w:color w:val="000000"/>
          <w:sz w:val="28"/>
          <w:szCs w:val="28"/>
        </w:rPr>
      </w:pPr>
      <w:r>
        <w:rPr>
          <w:color w:val="000000"/>
          <w:sz w:val="28"/>
          <w:szCs w:val="28"/>
        </w:rPr>
        <w:t xml:space="preserve">В рамках показателя «Деловая репутация участника конкурса» критерия «Квалификация участников закупки в том числе наличие у них финансовых ресурсов, оборудования и других материальных ресурсов, принадлежащих им </w:t>
      </w:r>
      <w:r>
        <w:rPr>
          <w:color w:val="000000"/>
          <w:sz w:val="28"/>
          <w:szCs w:val="28"/>
        </w:rPr>
        <w:lastRenderedPageBreak/>
        <w:t xml:space="preserve">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по </w:t>
      </w:r>
      <w:proofErr w:type="spellStart"/>
      <w:r>
        <w:rPr>
          <w:color w:val="000000"/>
          <w:sz w:val="28"/>
          <w:szCs w:val="28"/>
        </w:rPr>
        <w:t>субфактору</w:t>
      </w:r>
      <w:proofErr w:type="spellEnd"/>
      <w:r>
        <w:rPr>
          <w:color w:val="000000"/>
          <w:sz w:val="28"/>
          <w:szCs w:val="28"/>
        </w:rPr>
        <w:t xml:space="preserve"> «Органы управления» фактора «Кадры» ООО «МАКСИМУС» не представлен документ, установленный документацией, а именно: копия действующего штатного расписания участника закупки.</w:t>
      </w:r>
    </w:p>
    <w:p w:rsidR="003000B7" w:rsidRDefault="003000B7" w:rsidP="003000B7">
      <w:pPr>
        <w:tabs>
          <w:tab w:val="left" w:pos="0"/>
        </w:tabs>
        <w:ind w:firstLine="709"/>
        <w:jc w:val="both"/>
        <w:rPr>
          <w:color w:val="000000"/>
          <w:sz w:val="28"/>
          <w:szCs w:val="28"/>
        </w:rPr>
      </w:pPr>
      <w:r>
        <w:rPr>
          <w:color w:val="000000"/>
          <w:sz w:val="28"/>
          <w:szCs w:val="28"/>
        </w:rPr>
        <w:t xml:space="preserve">В рамках показателя «Деловая репутация участника конкурса»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по </w:t>
      </w:r>
      <w:proofErr w:type="spellStart"/>
      <w:r>
        <w:rPr>
          <w:color w:val="000000"/>
          <w:sz w:val="28"/>
          <w:szCs w:val="28"/>
        </w:rPr>
        <w:t>субфактору</w:t>
      </w:r>
      <w:proofErr w:type="spellEnd"/>
      <w:r>
        <w:rPr>
          <w:color w:val="000000"/>
          <w:sz w:val="28"/>
          <w:szCs w:val="28"/>
        </w:rPr>
        <w:t xml:space="preserve"> «Среднее звено» фактора «Кадры» ООО «МАКСИМУС» не представлен документ, установленный документацией, а именно: копия действующего штатного расписания участника закупки.</w:t>
      </w:r>
    </w:p>
    <w:p w:rsidR="003000B7" w:rsidRDefault="003000B7" w:rsidP="003000B7">
      <w:pPr>
        <w:tabs>
          <w:tab w:val="left" w:pos="0"/>
        </w:tabs>
        <w:ind w:firstLine="709"/>
        <w:jc w:val="both"/>
        <w:rPr>
          <w:color w:val="000000"/>
          <w:sz w:val="28"/>
          <w:szCs w:val="28"/>
        </w:rPr>
      </w:pPr>
      <w:r>
        <w:rPr>
          <w:color w:val="000000"/>
          <w:sz w:val="28"/>
          <w:szCs w:val="28"/>
        </w:rPr>
        <w:t xml:space="preserve">Таким образом, предложение ООО «МАКСИМУС» в рамках показателя «Деловая репутация участника конкурса»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по </w:t>
      </w:r>
      <w:proofErr w:type="spellStart"/>
      <w:r>
        <w:rPr>
          <w:color w:val="000000"/>
          <w:sz w:val="28"/>
          <w:szCs w:val="28"/>
        </w:rPr>
        <w:t>субфакторам</w:t>
      </w:r>
      <w:proofErr w:type="spellEnd"/>
      <w:r>
        <w:rPr>
          <w:color w:val="000000"/>
          <w:sz w:val="28"/>
          <w:szCs w:val="28"/>
        </w:rPr>
        <w:t xml:space="preserve"> «Органы управления», «Среднее звено» фактора «Кадры» не учитывается, так как в соответствии с документацией «Сведения не представлены и/или не соответствуют требованиям настоящего пункта конкурсной документации», следовательно количество присвоенных баллов – 0 по Фактору «Кадры», вместо 10 возможных.</w:t>
      </w:r>
    </w:p>
    <w:p w:rsidR="003000B7" w:rsidRDefault="003000B7" w:rsidP="003000B7">
      <w:pPr>
        <w:tabs>
          <w:tab w:val="left" w:pos="0"/>
        </w:tabs>
        <w:ind w:firstLine="709"/>
        <w:jc w:val="both"/>
        <w:rPr>
          <w:color w:val="000000"/>
          <w:sz w:val="28"/>
          <w:szCs w:val="28"/>
        </w:rPr>
      </w:pPr>
      <w:r>
        <w:rPr>
          <w:color w:val="000000"/>
          <w:sz w:val="28"/>
          <w:szCs w:val="28"/>
        </w:rPr>
        <w:t>Следовательно, Комиссия УФАС приходит к выводу, что конкурсная комиссия в рассматриваемом случае действовала в порядке, определенном конкурсной документации.</w:t>
      </w:r>
    </w:p>
    <w:p w:rsidR="003000B7" w:rsidRDefault="003000B7" w:rsidP="003000B7">
      <w:pPr>
        <w:tabs>
          <w:tab w:val="left" w:pos="0"/>
        </w:tabs>
        <w:ind w:firstLine="709"/>
        <w:jc w:val="both"/>
        <w:rPr>
          <w:color w:val="000000"/>
          <w:sz w:val="28"/>
          <w:szCs w:val="28"/>
        </w:rPr>
      </w:pPr>
      <w:r>
        <w:rPr>
          <w:color w:val="000000"/>
          <w:sz w:val="28"/>
          <w:szCs w:val="28"/>
        </w:rPr>
        <w:t>Комиссия УФАС отмечает, что частью 9 ст. 105 Закона о контрактной системе предусмотрено, что к жалобе прикладываются документы, подтверждающие ее обоснованность. При этом жалоба должна содержать перечень прилагаемых к ней документов.</w:t>
      </w:r>
    </w:p>
    <w:p w:rsidR="003000B7" w:rsidRDefault="003000B7" w:rsidP="003000B7">
      <w:pPr>
        <w:tabs>
          <w:tab w:val="left" w:pos="0"/>
        </w:tabs>
        <w:ind w:firstLine="709"/>
        <w:jc w:val="both"/>
        <w:rPr>
          <w:color w:val="000000"/>
          <w:sz w:val="28"/>
          <w:szCs w:val="28"/>
        </w:rPr>
      </w:pPr>
      <w:r>
        <w:rPr>
          <w:color w:val="000000"/>
          <w:sz w:val="28"/>
          <w:szCs w:val="28"/>
        </w:rPr>
        <w:t xml:space="preserve">Следовательно, бремя доказывания при рассмотрении жалобы </w:t>
      </w:r>
      <w:r>
        <w:rPr>
          <w:color w:val="000000"/>
          <w:sz w:val="28"/>
          <w:szCs w:val="28"/>
        </w:rPr>
        <w:br/>
        <w:t>в контрольном органе в сфере закупок Законом о контрактной системе возлагается на лицо, подавшее жалобу на соответствующие действия Заказчика в порядке Главы 6 Закона о контрактной системе.</w:t>
      </w:r>
    </w:p>
    <w:p w:rsidR="003000B7" w:rsidRDefault="003000B7" w:rsidP="003000B7">
      <w:pPr>
        <w:tabs>
          <w:tab w:val="left" w:pos="0"/>
        </w:tabs>
        <w:ind w:firstLine="709"/>
        <w:jc w:val="both"/>
        <w:rPr>
          <w:color w:val="000000"/>
          <w:sz w:val="28"/>
          <w:szCs w:val="28"/>
        </w:rPr>
      </w:pPr>
      <w:r>
        <w:rPr>
          <w:color w:val="000000"/>
          <w:sz w:val="28"/>
          <w:szCs w:val="28"/>
        </w:rPr>
        <w:t xml:space="preserve">Вместе с тем, в нарушение ч. 9 ст. 105 Закона о контрактной системе подателем жалобы не представлено доказательств, подтверждающих доводы Заявителя о нарушении конкурсной комиссией установленного в конкурсной </w:t>
      </w:r>
      <w:r>
        <w:rPr>
          <w:color w:val="000000"/>
          <w:sz w:val="28"/>
          <w:szCs w:val="28"/>
        </w:rPr>
        <w:lastRenderedPageBreak/>
        <w:t xml:space="preserve">документации порядка оценки заявок при оценке заявки </w:t>
      </w:r>
      <w:r>
        <w:rPr>
          <w:color w:val="000000"/>
          <w:sz w:val="28"/>
          <w:szCs w:val="28"/>
        </w:rPr>
        <w:br/>
        <w:t>ООО «МАКСИМУС».</w:t>
      </w:r>
    </w:p>
    <w:p w:rsidR="003000B7" w:rsidRDefault="003000B7" w:rsidP="003000B7">
      <w:pPr>
        <w:tabs>
          <w:tab w:val="left" w:pos="0"/>
        </w:tabs>
        <w:ind w:firstLine="709"/>
        <w:jc w:val="both"/>
        <w:rPr>
          <w:color w:val="000000"/>
          <w:sz w:val="28"/>
          <w:szCs w:val="28"/>
        </w:rPr>
      </w:pPr>
      <w:r>
        <w:rPr>
          <w:color w:val="000000"/>
          <w:sz w:val="28"/>
          <w:szCs w:val="28"/>
        </w:rPr>
        <w:t>Учитывая изложенное, Комиссия УФАС находит доводы Заявителя необоснованными.</w:t>
      </w:r>
    </w:p>
    <w:p w:rsidR="003000B7" w:rsidRDefault="003000B7" w:rsidP="003000B7">
      <w:pPr>
        <w:tabs>
          <w:tab w:val="left" w:pos="0"/>
        </w:tabs>
        <w:ind w:firstLine="709"/>
        <w:jc w:val="both"/>
        <w:rPr>
          <w:color w:val="000000"/>
          <w:sz w:val="28"/>
          <w:szCs w:val="28"/>
        </w:rPr>
      </w:pPr>
    </w:p>
    <w:p w:rsidR="003000B7" w:rsidRDefault="003000B7" w:rsidP="003000B7">
      <w:pPr>
        <w:tabs>
          <w:tab w:val="left" w:pos="0"/>
        </w:tabs>
        <w:ind w:firstLine="709"/>
        <w:jc w:val="both"/>
        <w:rPr>
          <w:color w:val="000000"/>
          <w:sz w:val="28"/>
          <w:szCs w:val="28"/>
        </w:rPr>
      </w:pPr>
      <w:r>
        <w:rPr>
          <w:color w:val="000000"/>
          <w:sz w:val="28"/>
          <w:szCs w:val="28"/>
        </w:rPr>
        <w:t>Комиссия УФАС, руководствуясь ст. ст. 2, 99, 106 Закона о контрактной системе, Административным регламентом,</w:t>
      </w:r>
    </w:p>
    <w:p w:rsidR="003000B7" w:rsidRDefault="003000B7" w:rsidP="003000B7">
      <w:pPr>
        <w:tabs>
          <w:tab w:val="left" w:pos="0"/>
        </w:tabs>
        <w:ind w:firstLine="709"/>
        <w:jc w:val="both"/>
        <w:rPr>
          <w:color w:val="000000"/>
          <w:sz w:val="28"/>
          <w:szCs w:val="28"/>
        </w:rPr>
      </w:pPr>
    </w:p>
    <w:p w:rsidR="003000B7" w:rsidRDefault="003000B7" w:rsidP="003000B7">
      <w:pPr>
        <w:autoSpaceDE w:val="0"/>
        <w:autoSpaceDN w:val="0"/>
        <w:adjustRightInd w:val="0"/>
        <w:jc w:val="center"/>
        <w:outlineLvl w:val="1"/>
        <w:rPr>
          <w:sz w:val="28"/>
          <w:szCs w:val="28"/>
        </w:rPr>
      </w:pPr>
      <w:r>
        <w:rPr>
          <w:sz w:val="28"/>
          <w:szCs w:val="28"/>
        </w:rPr>
        <w:t>РЕШИЛА:</w:t>
      </w:r>
    </w:p>
    <w:p w:rsidR="003000B7" w:rsidRDefault="003000B7" w:rsidP="003000B7">
      <w:pPr>
        <w:autoSpaceDE w:val="0"/>
        <w:autoSpaceDN w:val="0"/>
        <w:adjustRightInd w:val="0"/>
        <w:jc w:val="center"/>
        <w:outlineLvl w:val="1"/>
        <w:rPr>
          <w:sz w:val="28"/>
          <w:szCs w:val="28"/>
        </w:rPr>
      </w:pPr>
    </w:p>
    <w:p w:rsidR="003000B7" w:rsidRDefault="003000B7" w:rsidP="003000B7">
      <w:pPr>
        <w:pStyle w:val="a5"/>
        <w:widowControl w:val="0"/>
        <w:tabs>
          <w:tab w:val="left" w:pos="1134"/>
        </w:tabs>
        <w:autoSpaceDE w:val="0"/>
        <w:autoSpaceDN w:val="0"/>
        <w:adjustRightInd w:val="0"/>
        <w:ind w:left="709"/>
        <w:jc w:val="both"/>
        <w:rPr>
          <w:rFonts w:ascii="Times New Roman" w:hAnsi="Times New Roman" w:cs="Times New Roman"/>
          <w:sz w:val="28"/>
          <w:szCs w:val="28"/>
        </w:rPr>
      </w:pPr>
      <w:r>
        <w:rPr>
          <w:rFonts w:ascii="Times New Roman" w:hAnsi="Times New Roman" w:cs="Times New Roman"/>
          <w:sz w:val="28"/>
          <w:szCs w:val="28"/>
        </w:rPr>
        <w:t xml:space="preserve">Признать жалобу ООО «МАКСИМУС» </w:t>
      </w:r>
      <w:r>
        <w:rPr>
          <w:rFonts w:ascii="Times New Roman" w:hAnsi="Times New Roman" w:cs="Times New Roman"/>
          <w:sz w:val="28"/>
          <w:szCs w:val="28"/>
          <w:lang w:val="ru-RU"/>
        </w:rPr>
        <w:t>не</w:t>
      </w:r>
      <w:r>
        <w:rPr>
          <w:rFonts w:ascii="Times New Roman" w:hAnsi="Times New Roman" w:cs="Times New Roman"/>
          <w:sz w:val="28"/>
          <w:szCs w:val="28"/>
        </w:rPr>
        <w:t>обоснованной.</w:t>
      </w:r>
    </w:p>
    <w:p w:rsidR="003000B7" w:rsidRDefault="003000B7" w:rsidP="003000B7">
      <w:pPr>
        <w:pStyle w:val="1"/>
        <w:shd w:val="clear" w:color="auto" w:fill="auto"/>
        <w:spacing w:after="0" w:line="240" w:lineRule="auto"/>
        <w:jc w:val="both"/>
        <w:rPr>
          <w:spacing w:val="6"/>
          <w:sz w:val="28"/>
          <w:szCs w:val="28"/>
          <w:lang w:val="x-none"/>
        </w:rPr>
      </w:pPr>
    </w:p>
    <w:p w:rsidR="003000B7" w:rsidRDefault="003000B7" w:rsidP="003000B7">
      <w:pPr>
        <w:pStyle w:val="1"/>
        <w:shd w:val="clear" w:color="auto" w:fill="auto"/>
        <w:spacing w:after="0" w:line="240" w:lineRule="auto"/>
        <w:jc w:val="both"/>
        <w:rPr>
          <w:rFonts w:ascii="Times New Roman" w:hAnsi="Times New Roman" w:cs="Times New Roman"/>
          <w:spacing w:val="6"/>
          <w:sz w:val="28"/>
          <w:szCs w:val="28"/>
        </w:rPr>
      </w:pPr>
      <w:bookmarkStart w:id="1" w:name="_GoBack"/>
      <w:bookmarkEnd w:id="1"/>
    </w:p>
    <w:p w:rsidR="003000B7" w:rsidRDefault="003000B7" w:rsidP="003000B7">
      <w:pPr>
        <w:pStyle w:val="1"/>
        <w:shd w:val="clear" w:color="auto" w:fill="auto"/>
        <w:spacing w:after="0" w:line="240" w:lineRule="auto"/>
        <w:jc w:val="both"/>
        <w:rPr>
          <w:rFonts w:ascii="Times New Roman" w:hAnsi="Times New Roman" w:cs="Times New Roman"/>
          <w:spacing w:val="6"/>
          <w:sz w:val="28"/>
          <w:szCs w:val="28"/>
        </w:rPr>
      </w:pPr>
    </w:p>
    <w:p w:rsidR="003000B7" w:rsidRDefault="003000B7" w:rsidP="003000B7">
      <w:pPr>
        <w:tabs>
          <w:tab w:val="left" w:pos="2700"/>
        </w:tabs>
        <w:ind w:firstLine="720"/>
        <w:jc w:val="both"/>
        <w:rPr>
          <w:color w:val="000000"/>
          <w:sz w:val="28"/>
          <w:szCs w:val="28"/>
        </w:rPr>
      </w:pPr>
      <w:r>
        <w:rPr>
          <w:i/>
          <w:color w:val="000000"/>
          <w:sz w:val="28"/>
          <w:szCs w:val="28"/>
        </w:rPr>
        <w:t xml:space="preserve">Настоящее решение может быть обжаловано в судебном порядке </w:t>
      </w:r>
      <w:r>
        <w:rPr>
          <w:i/>
          <w:color w:val="000000"/>
          <w:sz w:val="28"/>
          <w:szCs w:val="28"/>
        </w:rPr>
        <w:br/>
        <w:t>в течение трёх месяцев со дня принятия.</w:t>
      </w:r>
      <w:r>
        <w:rPr>
          <w:color w:val="000000"/>
          <w:sz w:val="28"/>
          <w:szCs w:val="28"/>
        </w:rPr>
        <w:t xml:space="preserve"> </w:t>
      </w:r>
    </w:p>
    <w:p w:rsidR="003000B7" w:rsidRDefault="003000B7" w:rsidP="003000B7">
      <w:pPr>
        <w:autoSpaceDE w:val="0"/>
        <w:autoSpaceDN w:val="0"/>
        <w:adjustRightInd w:val="0"/>
        <w:spacing w:line="276" w:lineRule="auto"/>
        <w:ind w:firstLine="709"/>
        <w:jc w:val="both"/>
        <w:rPr>
          <w:color w:val="000000"/>
          <w:sz w:val="26"/>
          <w:szCs w:val="26"/>
        </w:rPr>
      </w:pPr>
    </w:p>
    <w:p w:rsidR="003000B7" w:rsidRDefault="003000B7" w:rsidP="003000B7"/>
    <w:p w:rsidR="00580264" w:rsidRDefault="00641279"/>
    <w:sectPr w:rsidR="00580264" w:rsidSect="003000B7">
      <w:headerReference w:type="default" r:id="rId7"/>
      <w:pgSz w:w="11906" w:h="16838"/>
      <w:pgMar w:top="1134" w:right="850" w:bottom="1985"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279" w:rsidRDefault="00641279" w:rsidP="003000B7">
      <w:r>
        <w:separator/>
      </w:r>
    </w:p>
  </w:endnote>
  <w:endnote w:type="continuationSeparator" w:id="0">
    <w:p w:rsidR="00641279" w:rsidRDefault="00641279" w:rsidP="00300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279" w:rsidRDefault="00641279" w:rsidP="003000B7">
      <w:r>
        <w:separator/>
      </w:r>
    </w:p>
  </w:footnote>
  <w:footnote w:type="continuationSeparator" w:id="0">
    <w:p w:rsidR="00641279" w:rsidRDefault="00641279" w:rsidP="00300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036867"/>
      <w:docPartObj>
        <w:docPartGallery w:val="Page Numbers (Top of Page)"/>
        <w:docPartUnique/>
      </w:docPartObj>
    </w:sdtPr>
    <w:sdtEndPr/>
    <w:sdtContent>
      <w:p w:rsidR="003000B7" w:rsidRDefault="003000B7">
        <w:pPr>
          <w:pStyle w:val="a6"/>
          <w:jc w:val="center"/>
        </w:pPr>
        <w:r>
          <w:fldChar w:fldCharType="begin"/>
        </w:r>
        <w:r>
          <w:instrText>PAGE   \* MERGEFORMAT</w:instrText>
        </w:r>
        <w:r>
          <w:fldChar w:fldCharType="separate"/>
        </w:r>
        <w:r w:rsidR="0019487D">
          <w:rPr>
            <w:noProof/>
          </w:rPr>
          <w:t>31</w:t>
        </w:r>
        <w:r>
          <w:fldChar w:fldCharType="end"/>
        </w:r>
      </w:p>
    </w:sdtContent>
  </w:sdt>
  <w:p w:rsidR="003000B7" w:rsidRDefault="003000B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E4A"/>
    <w:rsid w:val="0019487D"/>
    <w:rsid w:val="003000B7"/>
    <w:rsid w:val="00641279"/>
    <w:rsid w:val="00755E4A"/>
    <w:rsid w:val="009708C4"/>
    <w:rsid w:val="00B65C22"/>
    <w:rsid w:val="00C50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7ED3B"/>
  <w15:chartTrackingRefBased/>
  <w15:docId w15:val="{AD778835-BFD4-4A6D-AB37-957BD5476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0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000B7"/>
    <w:rPr>
      <w:color w:val="0000FF"/>
      <w:u w:val="single"/>
    </w:rPr>
  </w:style>
  <w:style w:type="character" w:customStyle="1" w:styleId="a4">
    <w:name w:val="Абзац списка Знак"/>
    <w:link w:val="a5"/>
    <w:uiPriority w:val="34"/>
    <w:locked/>
    <w:rsid w:val="003000B7"/>
    <w:rPr>
      <w:sz w:val="24"/>
      <w:szCs w:val="24"/>
      <w:lang w:val="x-none" w:eastAsia="x-none"/>
    </w:rPr>
  </w:style>
  <w:style w:type="paragraph" w:styleId="a5">
    <w:name w:val="List Paragraph"/>
    <w:basedOn w:val="a"/>
    <w:link w:val="a4"/>
    <w:uiPriority w:val="34"/>
    <w:qFormat/>
    <w:rsid w:val="003000B7"/>
    <w:pPr>
      <w:ind w:left="720"/>
      <w:contextualSpacing/>
    </w:pPr>
    <w:rPr>
      <w:rFonts w:asciiTheme="minorHAnsi" w:eastAsiaTheme="minorHAnsi" w:hAnsiTheme="minorHAnsi" w:cstheme="minorBidi"/>
      <w:lang w:val="x-none" w:eastAsia="x-none"/>
    </w:rPr>
  </w:style>
  <w:style w:type="character" w:customStyle="1" w:styleId="Bodytext">
    <w:name w:val="Body text_"/>
    <w:link w:val="1"/>
    <w:locked/>
    <w:rsid w:val="003000B7"/>
    <w:rPr>
      <w:sz w:val="26"/>
      <w:szCs w:val="26"/>
      <w:shd w:val="clear" w:color="auto" w:fill="FFFFFF"/>
    </w:rPr>
  </w:style>
  <w:style w:type="paragraph" w:customStyle="1" w:styleId="1">
    <w:name w:val="Основной текст1"/>
    <w:basedOn w:val="a"/>
    <w:link w:val="Bodytext"/>
    <w:rsid w:val="003000B7"/>
    <w:pPr>
      <w:widowControl w:val="0"/>
      <w:shd w:val="clear" w:color="auto" w:fill="FFFFFF"/>
      <w:spacing w:after="300" w:line="317" w:lineRule="exact"/>
    </w:pPr>
    <w:rPr>
      <w:rFonts w:asciiTheme="minorHAnsi" w:eastAsiaTheme="minorHAnsi" w:hAnsiTheme="minorHAnsi" w:cstheme="minorBidi"/>
      <w:sz w:val="26"/>
      <w:szCs w:val="26"/>
      <w:lang w:eastAsia="en-US"/>
    </w:rPr>
  </w:style>
  <w:style w:type="paragraph" w:styleId="a6">
    <w:name w:val="header"/>
    <w:basedOn w:val="a"/>
    <w:link w:val="a7"/>
    <w:uiPriority w:val="99"/>
    <w:unhideWhenUsed/>
    <w:rsid w:val="003000B7"/>
    <w:pPr>
      <w:tabs>
        <w:tab w:val="center" w:pos="4677"/>
        <w:tab w:val="right" w:pos="9355"/>
      </w:tabs>
    </w:pPr>
  </w:style>
  <w:style w:type="character" w:customStyle="1" w:styleId="a7">
    <w:name w:val="Верхний колонтитул Знак"/>
    <w:basedOn w:val="a0"/>
    <w:link w:val="a6"/>
    <w:uiPriority w:val="99"/>
    <w:rsid w:val="003000B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000B7"/>
    <w:pPr>
      <w:tabs>
        <w:tab w:val="center" w:pos="4677"/>
        <w:tab w:val="right" w:pos="9355"/>
      </w:tabs>
    </w:pPr>
  </w:style>
  <w:style w:type="character" w:customStyle="1" w:styleId="a9">
    <w:name w:val="Нижний колонтитул Знак"/>
    <w:basedOn w:val="a0"/>
    <w:link w:val="a8"/>
    <w:uiPriority w:val="99"/>
    <w:rsid w:val="003000B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000B7"/>
    <w:rPr>
      <w:rFonts w:ascii="Segoe UI" w:hAnsi="Segoe UI" w:cs="Segoe UI"/>
      <w:sz w:val="18"/>
      <w:szCs w:val="18"/>
    </w:rPr>
  </w:style>
  <w:style w:type="character" w:customStyle="1" w:styleId="ab">
    <w:name w:val="Текст выноски Знак"/>
    <w:basedOn w:val="a0"/>
    <w:link w:val="aa"/>
    <w:uiPriority w:val="99"/>
    <w:semiHidden/>
    <w:rsid w:val="003000B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39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upki.gov.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11177</Words>
  <Characters>63713</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2020-01-17T05:29:00Z</cp:lastPrinted>
  <dcterms:created xsi:type="dcterms:W3CDTF">2020-01-17T05:27:00Z</dcterms:created>
  <dcterms:modified xsi:type="dcterms:W3CDTF">2020-01-17T05:29:00Z</dcterms:modified>
</cp:coreProperties>
</file>