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jc w:val="center"/>
        <w:rPr/>
      </w:pPr>
      <w:r>
        <w:rPr/>
        <w:drawing>
          <wp:anchor behindDoc="1" distT="0" distB="0" distL="114935" distR="114935" simplePos="0" locked="0" layoutInCell="1" allowOverlap="1" relativeHeight="2">
            <wp:simplePos x="0" y="0"/>
            <wp:positionH relativeFrom="column">
              <wp:posOffset>2506345</wp:posOffset>
            </wp:positionH>
            <wp:positionV relativeFrom="paragraph">
              <wp:posOffset>69850</wp:posOffset>
            </wp:positionV>
            <wp:extent cx="1002030" cy="925830"/>
            <wp:effectExtent l="0" t="0" r="0" b="0"/>
            <wp:wrapTight wrapText="bothSides">
              <wp:wrapPolygon edited="0">
                <wp:start x="-296" y="0"/>
                <wp:lineTo x="-296" y="21045"/>
                <wp:lineTo x="21600" y="21045"/>
                <wp:lineTo x="21600" y="0"/>
                <wp:lineTo x="-296" y="0"/>
              </wp:wrapPolygon>
            </wp:wrapTight>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rcRect l="-861" t="-873" r="-861" b="-873"/>
                    <a:stretch>
                      <a:fillRect/>
                    </a:stretch>
                  </pic:blipFill>
                  <pic:spPr bwMode="auto">
                    <a:xfrm>
                      <a:off x="0" y="0"/>
                      <a:ext cx="1002030" cy="925830"/>
                    </a:xfrm>
                    <a:prstGeom prst="rect">
                      <a:avLst/>
                    </a:prstGeom>
                  </pic:spPr>
                </pic:pic>
              </a:graphicData>
            </a:graphic>
          </wp:anchor>
        </w:drawing>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sz w:val="26"/>
          <w:szCs w:val="26"/>
        </w:rPr>
        <w:t xml:space="preserve">                                                                           </w:t>
      </w:r>
      <w:r>
        <w:rPr/>
        <w:t xml:space="preserve"> </w:t>
      </w:r>
    </w:p>
    <w:tbl>
      <w:tblPr>
        <w:tblW w:w="9805" w:type="dxa"/>
        <w:jc w:val="left"/>
        <w:tblInd w:w="0" w:type="dxa"/>
        <w:tblBorders/>
        <w:tblCellMar>
          <w:top w:w="0" w:type="dxa"/>
          <w:left w:w="108" w:type="dxa"/>
          <w:bottom w:w="0" w:type="dxa"/>
          <w:right w:w="108" w:type="dxa"/>
        </w:tblCellMar>
      </w:tblPr>
      <w:tblGrid>
        <w:gridCol w:w="9805"/>
      </w:tblGrid>
      <w:tr>
        <w:trPr>
          <w:trHeight w:val="1862" w:hRule="atLeast"/>
        </w:trPr>
        <w:tc>
          <w:tcPr>
            <w:tcW w:w="9805" w:type="dxa"/>
            <w:tcBorders/>
            <w:shd w:fill="auto" w:val="clear"/>
          </w:tcPr>
          <w:p>
            <w:pPr>
              <w:pStyle w:val="Style18"/>
              <w:jc w:val="center"/>
              <w:rPr>
                <w:b/>
                <w:b/>
                <w:color w:val="0066CC"/>
                <w:sz w:val="26"/>
                <w:szCs w:val="26"/>
              </w:rPr>
            </w:pPr>
            <w:r>
              <w:rPr>
                <w:b/>
                <w:color w:val="0066CC"/>
                <w:sz w:val="26"/>
                <w:szCs w:val="26"/>
              </w:rPr>
              <w:t>УПРАВЛЕНИЕ ФЕДЕРАЛЬНОЙ АНТИМОНОПОЛЬНОЙ СЛУЖБЫ</w:t>
            </w:r>
          </w:p>
          <w:p>
            <w:pPr>
              <w:pStyle w:val="Normal"/>
              <w:jc w:val="center"/>
              <w:rPr>
                <w:b/>
                <w:b/>
                <w:color w:val="0066CC"/>
                <w:sz w:val="26"/>
                <w:szCs w:val="26"/>
              </w:rPr>
            </w:pPr>
            <w:r>
              <w:rPr>
                <w:b/>
                <w:color w:val="0066CC"/>
                <w:sz w:val="26"/>
                <w:szCs w:val="26"/>
              </w:rPr>
              <w:t>ПО НЕНЕЦКОМУ АВТОНОМНОМУ ОКРУГУ</w:t>
            </w:r>
          </w:p>
          <w:p>
            <w:pPr>
              <w:pStyle w:val="Normal"/>
              <w:rPr>
                <w:b/>
                <w:b/>
                <w:color w:val="0066CC"/>
                <w:sz w:val="26"/>
                <w:szCs w:val="26"/>
              </w:rPr>
            </w:pPr>
            <w:r>
              <w:rPr>
                <w:b/>
                <w:color w:val="0066CC"/>
                <w:sz w:val="26"/>
                <w:szCs w:val="26"/>
              </w:rPr>
            </w:r>
          </w:p>
          <w:p>
            <w:pPr>
              <w:pStyle w:val="Heading3"/>
              <w:numPr>
                <w:ilvl w:val="2"/>
                <w:numId w:val="2"/>
              </w:numPr>
              <w:jc w:val="left"/>
              <w:rPr/>
            </w:pPr>
            <w:r>
              <w:rPr>
                <w:color w:val="0066CC"/>
                <w:sz w:val="26"/>
                <w:szCs w:val="26"/>
              </w:rPr>
              <w:t xml:space="preserve">                                                           </w:t>
            </w:r>
            <w:r>
              <w:rPr>
                <w:color w:val="0066CC"/>
                <w:sz w:val="26"/>
                <w:szCs w:val="26"/>
              </w:rPr>
              <w:t>РЕШЕНИЕ</w:t>
            </w:r>
          </w:p>
          <w:p>
            <w:pPr>
              <w:pStyle w:val="Normal"/>
              <w:rPr/>
            </w:pPr>
            <w:r>
              <w:rPr>
                <w:color w:val="0066CC"/>
                <w:sz w:val="26"/>
                <w:szCs w:val="26"/>
              </w:rPr>
              <w:t xml:space="preserve"> </w:t>
            </w:r>
            <w:r>
              <w:rPr>
                <w:lang w:eastAsia="zh-CN"/>
              </w:rPr>
              <w:t xml:space="preserve"> </w:t>
            </w:r>
            <w:r>
              <w:rPr>
                <w:lang w:eastAsia="zh-CN"/>
              </w:rPr>
              <w:t xml:space="preserve">о нарушении  закона  о контрактной системе  в сфере закупок  товаров,  работ, услуг </w:t>
            </w:r>
          </w:p>
          <w:p>
            <w:pPr>
              <w:pStyle w:val="Normal"/>
              <w:rPr>
                <w:lang w:eastAsia="zh-CN"/>
              </w:rPr>
            </w:pPr>
            <w:r>
              <w:rPr>
                <w:lang w:eastAsia="zh-CN"/>
              </w:rPr>
              <w:t xml:space="preserve">                             </w:t>
            </w:r>
            <w:r>
              <w:rPr>
                <w:lang w:eastAsia="zh-CN"/>
              </w:rPr>
              <w:t>для  обеспечения государственных и муниципальных нужд</w:t>
            </w:r>
          </w:p>
          <w:p>
            <w:pPr>
              <w:pStyle w:val="Normal"/>
              <w:rPr/>
            </w:pPr>
            <w:r>
              <w:rPr/>
            </w:r>
          </w:p>
          <w:p>
            <w:pPr>
              <w:pStyle w:val="Normal"/>
              <w:rPr>
                <w:color w:val="0066CC"/>
                <w:sz w:val="26"/>
                <w:szCs w:val="26"/>
              </w:rPr>
            </w:pPr>
            <w:r>
              <w:rPr>
                <w:color w:val="0066CC"/>
                <w:sz w:val="26"/>
                <w:szCs w:val="26"/>
              </w:rPr>
              <w:t>05 июля 2019 года                                                                    № 083/06/106-33/2019</w:t>
            </w:r>
          </w:p>
          <w:p>
            <w:pPr>
              <w:pStyle w:val="Normal"/>
              <w:rPr/>
            </w:pPr>
            <w:r>
              <w:rPr>
                <w:color w:val="0066CC"/>
                <w:sz w:val="26"/>
                <w:szCs w:val="26"/>
              </w:rPr>
              <w:t xml:space="preserve">                                                        </w:t>
            </w:r>
            <w:r>
              <w:rPr>
                <w:color w:val="0066CC"/>
                <w:sz w:val="26"/>
                <w:szCs w:val="26"/>
              </w:rPr>
              <w:t>г. Нарьян-Мар</w:t>
            </w:r>
          </w:p>
          <w:p>
            <w:pPr>
              <w:pStyle w:val="Normal"/>
              <w:rPr>
                <w:color w:val="0066CC"/>
                <w:sz w:val="26"/>
                <w:szCs w:val="26"/>
              </w:rPr>
            </w:pPr>
            <w:r>
              <w:rPr>
                <w:color w:val="0066CC"/>
                <w:sz w:val="26"/>
                <w:szCs w:val="26"/>
              </w:rPr>
            </w:r>
          </w:p>
        </w:tc>
      </w:tr>
    </w:tbl>
    <w:p>
      <w:pPr>
        <w:pStyle w:val="Normal"/>
        <w:spacing w:lineRule="auto" w:line="312"/>
        <w:jc w:val="both"/>
        <w:rPr/>
      </w:pPr>
      <w:r>
        <w:rPr>
          <w:sz w:val="26"/>
          <w:szCs w:val="26"/>
          <w:lang w:val="ru-RU" w:eastAsia="ru-RU"/>
        </w:rPr>
        <w:t xml:space="preserve"> </w:t>
      </w:r>
      <w:r>
        <w:rPr>
          <w:sz w:val="26"/>
          <w:szCs w:val="26"/>
        </w:rPr>
        <w:t>СВЕДЕНИЯ  о  ПРОВЕРКЕ:</w:t>
      </w:r>
    </w:p>
    <w:p>
      <w:pPr>
        <w:pStyle w:val="Normal"/>
        <w:jc w:val="both"/>
        <w:rPr>
          <w:sz w:val="26"/>
          <w:szCs w:val="26"/>
        </w:rPr>
      </w:pPr>
      <w:r>
        <w:rPr>
          <w:sz w:val="26"/>
          <w:szCs w:val="26"/>
        </w:rPr>
        <w:tab/>
        <w:t>Проведена в соответствии со статьей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N44-ФЗ, Закон о контрактной системе, Закон)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pPr>
        <w:pStyle w:val="Normal"/>
        <w:jc w:val="both"/>
        <w:rPr>
          <w:sz w:val="26"/>
          <w:szCs w:val="26"/>
        </w:rPr>
      </w:pPr>
      <w:r>
        <w:rPr>
          <w:sz w:val="26"/>
          <w:szCs w:val="26"/>
        </w:rPr>
        <w:tab/>
        <w:t>Основание– жалоба Общества с ограниченной ответственностью «АНТЕЯЛ» (далее– ООО «АНТЕЯЛ», Заявитель, Подрядчик) на действия Заказчика–Казённого учреждения Ненецкого автономного округа «Централизованный стройзаказчик) (далее - КУ НАО «ЦСЗ», Заказчик), при проведении электронного аукциона.</w:t>
      </w:r>
    </w:p>
    <w:p>
      <w:pPr>
        <w:pStyle w:val="Normal"/>
        <w:jc w:val="both"/>
        <w:rPr/>
      </w:pPr>
      <w:r>
        <w:rPr>
          <w:sz w:val="26"/>
          <w:szCs w:val="26"/>
        </w:rPr>
        <w:tab/>
        <w:t>Сведения о закупке №0384200001619000070 (далее по тексту - Закупка), на которую поступила жалоба по наименованию объекта закупки: «Выполнение работ по строительству объекта  «Пришкольный  интернат  на 80 мест  в п. Каратайка»</w:t>
      </w:r>
      <w:r>
        <w:rPr>
          <w:sz w:val="26"/>
          <w:szCs w:val="26"/>
          <w:lang w:val="en-US"/>
        </w:rPr>
        <w:t>:</w:t>
      </w:r>
    </w:p>
    <w:p>
      <w:pPr>
        <w:pStyle w:val="Normal"/>
        <w:jc w:val="both"/>
        <w:rPr>
          <w:sz w:val="26"/>
          <w:szCs w:val="26"/>
        </w:rPr>
      </w:pPr>
      <w:r>
        <w:rPr>
          <w:sz w:val="26"/>
          <w:szCs w:val="26"/>
        </w:rPr>
        <w:t>1)извещение о проведении электронного аукциона с изменениями от 13.06.2019 №№0384200001619000070 размещено в единой информационной системе (далее- ЕИС) – 13.06. 2019 09:01 (МСК); аукционная документация    утверждена приказом  КУ НАО «ЦСЗ» № 142-од от 08.05.2019;</w:t>
      </w:r>
    </w:p>
    <w:p>
      <w:pPr>
        <w:pStyle w:val="Normal"/>
        <w:jc w:val="both"/>
        <w:rPr>
          <w:sz w:val="26"/>
          <w:szCs w:val="26"/>
        </w:rPr>
      </w:pPr>
      <w:r>
        <w:rPr>
          <w:sz w:val="26"/>
          <w:szCs w:val="26"/>
        </w:rPr>
        <w:t>2)наименование объекта закупки – «Выполнение работ  по строительству объекта «Пришкольный интернат на 80 мест в п. Каратайка»</w:t>
      </w:r>
    </w:p>
    <w:p>
      <w:pPr>
        <w:pStyle w:val="Normal"/>
        <w:jc w:val="both"/>
        <w:rPr/>
      </w:pPr>
      <w:r>
        <w:rPr>
          <w:sz w:val="26"/>
          <w:szCs w:val="26"/>
        </w:rPr>
        <w:t xml:space="preserve"> </w:t>
      </w:r>
      <w:r>
        <w:rPr>
          <w:sz w:val="26"/>
          <w:szCs w:val="26"/>
        </w:rPr>
        <w:t>(ИКЗ 192298399810729830100100150010000414);</w:t>
      </w:r>
    </w:p>
    <w:p>
      <w:pPr>
        <w:pStyle w:val="Normal"/>
        <w:jc w:val="both"/>
        <w:rPr>
          <w:sz w:val="26"/>
          <w:szCs w:val="26"/>
        </w:rPr>
      </w:pPr>
      <w:r>
        <w:rPr>
          <w:sz w:val="26"/>
          <w:szCs w:val="26"/>
        </w:rPr>
        <w:t>3)начальная (максимальная) цена контракта (далее– НМЦК)- 366 151 400.00  Российский рубль;</w:t>
      </w:r>
    </w:p>
    <w:p>
      <w:pPr>
        <w:pStyle w:val="Normal"/>
        <w:jc w:val="both"/>
        <w:rPr>
          <w:sz w:val="26"/>
          <w:szCs w:val="26"/>
        </w:rPr>
      </w:pPr>
      <w:r>
        <w:rPr>
          <w:sz w:val="26"/>
          <w:szCs w:val="26"/>
        </w:rPr>
        <w:t>4)способ определения поставщика (подрядчика, исполнителя) – электронный аукцион;</w:t>
      </w:r>
    </w:p>
    <w:p>
      <w:pPr>
        <w:pStyle w:val="Normal"/>
        <w:jc w:val="both"/>
        <w:rPr>
          <w:sz w:val="26"/>
          <w:szCs w:val="26"/>
        </w:rPr>
      </w:pPr>
      <w:r>
        <w:rPr>
          <w:sz w:val="26"/>
          <w:szCs w:val="26"/>
        </w:rPr>
        <w:t xml:space="preserve">5) дата и время  окончания  подачи заявок — 01.07.2019 09:00 (МСК); </w:t>
      </w:r>
    </w:p>
    <w:p>
      <w:pPr>
        <w:pStyle w:val="Normal"/>
        <w:jc w:val="both"/>
        <w:rPr>
          <w:sz w:val="26"/>
          <w:szCs w:val="26"/>
        </w:rPr>
      </w:pPr>
      <w:r>
        <w:rPr>
          <w:sz w:val="26"/>
          <w:szCs w:val="26"/>
        </w:rPr>
        <w:t>6) дата проведения аукциона в электронной форме – 05.07.2019 11:00 (МСК).</w:t>
      </w:r>
    </w:p>
    <w:p>
      <w:pPr>
        <w:pStyle w:val="Normal"/>
        <w:jc w:val="both"/>
        <w:rPr>
          <w:sz w:val="26"/>
          <w:szCs w:val="26"/>
        </w:rPr>
      </w:pPr>
      <w:r>
        <w:rPr>
          <w:sz w:val="26"/>
          <w:szCs w:val="26"/>
        </w:rPr>
        <w:tab/>
        <w:t>Срок проведения проверки: с 01 июля 2019 года по 05 июля 2019 года;</w:t>
      </w:r>
    </w:p>
    <w:p>
      <w:pPr>
        <w:pStyle w:val="Normal"/>
        <w:jc w:val="both"/>
        <w:rPr>
          <w:sz w:val="26"/>
          <w:szCs w:val="26"/>
        </w:rPr>
      </w:pPr>
      <w:r>
        <w:rPr>
          <w:sz w:val="26"/>
          <w:szCs w:val="26"/>
        </w:rPr>
        <w:tab/>
        <w:t>Дата рассмотрения материалов проверки –05 июля 2019 года;</w:t>
      </w:r>
    </w:p>
    <w:p>
      <w:pPr>
        <w:pStyle w:val="Normal"/>
        <w:jc w:val="both"/>
        <w:rPr>
          <w:sz w:val="26"/>
          <w:szCs w:val="26"/>
        </w:rPr>
      </w:pPr>
      <w:r>
        <w:rPr>
          <w:sz w:val="26"/>
          <w:szCs w:val="26"/>
        </w:rPr>
        <w:tab/>
        <w:t xml:space="preserve">Рассмотрение проведено Комиссией Управления Федеральной антимонопольной службы по Ненецкому автономному округу (далее по тексту – Комиссия) в составе: </w:t>
      </w:r>
    </w:p>
    <w:p>
      <w:pPr>
        <w:pStyle w:val="Normal"/>
        <w:jc w:val="both"/>
        <w:rPr>
          <w:sz w:val="26"/>
          <w:szCs w:val="26"/>
        </w:rPr>
      </w:pPr>
      <w:r>
        <w:rPr>
          <w:sz w:val="26"/>
          <w:szCs w:val="26"/>
        </w:rPr>
        <w:t>Председатель Комиссии:</w:t>
      </w:r>
    </w:p>
    <w:p>
      <w:pPr>
        <w:pStyle w:val="Normal"/>
        <w:jc w:val="both"/>
        <w:rPr>
          <w:sz w:val="26"/>
          <w:szCs w:val="26"/>
        </w:rPr>
      </w:pPr>
      <w:r>
        <w:rPr>
          <w:sz w:val="26"/>
          <w:szCs w:val="26"/>
        </w:rPr>
      </w:r>
    </w:p>
    <w:p>
      <w:pPr>
        <w:pStyle w:val="Normal"/>
        <w:jc w:val="both"/>
        <w:rPr>
          <w:sz w:val="26"/>
          <w:szCs w:val="26"/>
        </w:rPr>
      </w:pPr>
      <w:r>
        <w:rPr>
          <w:sz w:val="26"/>
          <w:szCs w:val="26"/>
        </w:rPr>
        <w:t>Члены Комиссии:</w:t>
      </w:r>
    </w:p>
    <w:p>
      <w:pPr>
        <w:pStyle w:val="Normal"/>
        <w:jc w:val="both"/>
        <w:rPr>
          <w:sz w:val="26"/>
          <w:szCs w:val="26"/>
        </w:rPr>
      </w:pPr>
      <w:r>
        <w:rPr>
          <w:sz w:val="26"/>
          <w:szCs w:val="26"/>
        </w:rPr>
      </w:r>
    </w:p>
    <w:p>
      <w:pPr>
        <w:pStyle w:val="Normal"/>
        <w:jc w:val="both"/>
        <w:rPr>
          <w:sz w:val="26"/>
          <w:szCs w:val="26"/>
        </w:rPr>
      </w:pPr>
      <w:r>
        <w:rPr>
          <w:sz w:val="26"/>
          <w:szCs w:val="26"/>
        </w:rPr>
        <w:t>в присутствии представителей Заказчика (доверенности от 24 мая 2019 года со сроком до 31.12.2019);</w:t>
      </w:r>
    </w:p>
    <w:p>
      <w:pPr>
        <w:pStyle w:val="Normal"/>
        <w:jc w:val="both"/>
        <w:rPr>
          <w:sz w:val="26"/>
          <w:szCs w:val="26"/>
        </w:rPr>
      </w:pPr>
      <w:r>
        <w:rPr>
          <w:sz w:val="26"/>
          <w:szCs w:val="26"/>
        </w:rPr>
        <w:t>в присутствии Уполномоченного по правам предпринимателей Ненецкого  автономного округа Сопочкина  Г.В.;</w:t>
      </w:r>
    </w:p>
    <w:p>
      <w:pPr>
        <w:pStyle w:val="Normal"/>
        <w:jc w:val="both"/>
        <w:rPr>
          <w:sz w:val="26"/>
          <w:szCs w:val="26"/>
        </w:rPr>
      </w:pPr>
      <w:r>
        <w:rPr>
          <w:sz w:val="26"/>
          <w:szCs w:val="26"/>
        </w:rPr>
        <w:t>в отсутствие  Заявителя (уведомлен надлежащим образом от 03.07.2019 № 01-33/765).</w:t>
      </w:r>
    </w:p>
    <w:p>
      <w:pPr>
        <w:pStyle w:val="Normal"/>
        <w:jc w:val="both"/>
        <w:rPr>
          <w:sz w:val="26"/>
          <w:szCs w:val="26"/>
        </w:rPr>
      </w:pPr>
      <w:r>
        <w:rPr>
          <w:sz w:val="26"/>
          <w:szCs w:val="26"/>
        </w:rPr>
      </w:r>
    </w:p>
    <w:p>
      <w:pPr>
        <w:pStyle w:val="Normal"/>
        <w:jc w:val="both"/>
        <w:rPr>
          <w:sz w:val="26"/>
          <w:szCs w:val="26"/>
        </w:rPr>
      </w:pPr>
      <w:r>
        <w:rPr>
          <w:sz w:val="26"/>
          <w:szCs w:val="26"/>
        </w:rPr>
        <w:t>При проведении проверки и рассмотрении материалов дела № 083/06/106-33/2019 Комиссия</w:t>
      </w:r>
    </w:p>
    <w:p>
      <w:pPr>
        <w:pStyle w:val="Normal"/>
        <w:jc w:val="both"/>
        <w:rPr>
          <w:sz w:val="26"/>
          <w:szCs w:val="26"/>
        </w:rPr>
      </w:pPr>
      <w:r>
        <w:rPr>
          <w:sz w:val="26"/>
          <w:szCs w:val="26"/>
        </w:rPr>
        <w:t>УСТАНОВИЛА:</w:t>
      </w:r>
    </w:p>
    <w:p>
      <w:pPr>
        <w:pStyle w:val="Normal"/>
        <w:jc w:val="both"/>
        <w:rPr>
          <w:sz w:val="26"/>
          <w:szCs w:val="26"/>
        </w:rPr>
      </w:pPr>
      <w:r>
        <w:rPr>
          <w:sz w:val="26"/>
          <w:szCs w:val="26"/>
        </w:rPr>
      </w:r>
    </w:p>
    <w:p>
      <w:pPr>
        <w:pStyle w:val="Normal"/>
        <w:jc w:val="both"/>
        <w:rPr>
          <w:sz w:val="26"/>
          <w:szCs w:val="26"/>
        </w:rPr>
      </w:pPr>
      <w:r>
        <w:rPr>
          <w:sz w:val="26"/>
          <w:szCs w:val="26"/>
        </w:rPr>
        <w:tab/>
        <w:t>В Управление Федеральной антимонопольной службы по Ненецкому автономному округу (далее по тексту - Ненецкое УФАС России) поступила жалоба (вх. №1628), а также дополнения к жалобе ( вх. № 1682 от 05.07.2019) от Заявителя.</w:t>
      </w:r>
    </w:p>
    <w:p>
      <w:pPr>
        <w:pStyle w:val="Normal"/>
        <w:jc w:val="both"/>
        <w:rPr>
          <w:sz w:val="26"/>
          <w:szCs w:val="26"/>
        </w:rPr>
      </w:pPr>
      <w:r>
        <w:rPr>
          <w:sz w:val="26"/>
          <w:szCs w:val="26"/>
        </w:rPr>
        <w:tab/>
        <w:t>Жалоба и дополнения к жалобе Заявителем поданы в надлежащий срок и   соответствует требованиям, предусмотренным статьей 105 Закона о контрактной системе.</w:t>
      </w:r>
    </w:p>
    <w:p>
      <w:pPr>
        <w:pStyle w:val="Normal"/>
        <w:jc w:val="both"/>
        <w:rPr/>
      </w:pPr>
      <w:r>
        <w:rPr>
          <w:b/>
          <w:bCs/>
          <w:sz w:val="26"/>
          <w:szCs w:val="26"/>
        </w:rPr>
        <w:t>Заявитель указывает на неправомерные действия Заказчика в сфере закупки</w:t>
      </w:r>
      <w:r>
        <w:rPr>
          <w:b w:val="false"/>
          <w:bCs w:val="false"/>
          <w:sz w:val="26"/>
          <w:szCs w:val="26"/>
        </w:rPr>
        <w:t xml:space="preserve">   исходя  из  следующих  оснований</w:t>
      </w:r>
      <w:r>
        <w:rPr>
          <w:b/>
          <w:bCs/>
          <w:sz w:val="26"/>
          <w:szCs w:val="26"/>
        </w:rPr>
        <w:t>:</w:t>
      </w:r>
    </w:p>
    <w:p>
      <w:pPr>
        <w:pStyle w:val="Normal"/>
        <w:jc w:val="both"/>
        <w:rPr/>
      </w:pPr>
      <w:r>
        <w:rPr>
          <w:b/>
          <w:bCs/>
          <w:sz w:val="26"/>
          <w:szCs w:val="26"/>
        </w:rPr>
        <w:t>1)</w:t>
      </w:r>
      <w:r>
        <w:rPr>
          <w:sz w:val="26"/>
          <w:szCs w:val="26"/>
        </w:rPr>
        <w:t>нарушение части 3 статьи 7 Закона о контрактной системе  в связи с отсутствием  в составе аукционной документации  положительного заключения государственной экспертизы  проектной документации  и экспертизы достоверности  определения  сметной стоимости;</w:t>
      </w:r>
    </w:p>
    <w:p>
      <w:pPr>
        <w:pStyle w:val="Normal"/>
        <w:jc w:val="both"/>
        <w:rPr/>
      </w:pPr>
      <w:r>
        <w:rPr>
          <w:b/>
          <w:bCs/>
          <w:sz w:val="26"/>
          <w:szCs w:val="26"/>
        </w:rPr>
        <w:t>2)</w:t>
      </w:r>
      <w:r>
        <w:rPr>
          <w:sz w:val="26"/>
          <w:szCs w:val="26"/>
        </w:rPr>
        <w:t>нарушение  требования  части 3  статьи 96  Закона о контрактной  системе в связи  с несоответствием  срока действия банковской гарантии;</w:t>
      </w:r>
    </w:p>
    <w:p>
      <w:pPr>
        <w:pStyle w:val="Normal"/>
        <w:jc w:val="both"/>
        <w:rPr/>
      </w:pPr>
      <w:r>
        <w:rPr>
          <w:b/>
          <w:bCs/>
          <w:sz w:val="26"/>
          <w:szCs w:val="26"/>
        </w:rPr>
        <w:t>3)</w:t>
      </w:r>
      <w:r>
        <w:rPr>
          <w:sz w:val="26"/>
          <w:szCs w:val="26"/>
        </w:rPr>
        <w:t>нарушение  статьи  110.2 Закона о контрактной  системе в связи  с отсутствием  в документации  графика  оплаты  выполненных работ и утвержденной  Методике;</w:t>
      </w:r>
    </w:p>
    <w:p>
      <w:pPr>
        <w:pStyle w:val="Normal"/>
        <w:jc w:val="both"/>
        <w:rPr/>
      </w:pPr>
      <w:r>
        <w:rPr>
          <w:b/>
          <w:bCs/>
          <w:sz w:val="26"/>
          <w:szCs w:val="26"/>
        </w:rPr>
        <w:t>4)</w:t>
      </w:r>
      <w:r>
        <w:rPr>
          <w:sz w:val="26"/>
          <w:szCs w:val="26"/>
        </w:rPr>
        <w:t xml:space="preserve">нарушение части 6 статьи 31 Закона о контрактной системе в связи  установленными  требованиями  к составу второй части заявки не  в соответствии  с действующим  на момент размещения  закупки законодательством; </w:t>
      </w:r>
    </w:p>
    <w:p>
      <w:pPr>
        <w:pStyle w:val="Normal"/>
        <w:jc w:val="both"/>
        <w:rPr/>
      </w:pPr>
      <w:r>
        <w:rPr>
          <w:b/>
          <w:bCs/>
          <w:sz w:val="26"/>
          <w:szCs w:val="26"/>
        </w:rPr>
        <w:t>5)</w:t>
      </w:r>
      <w:r>
        <w:rPr>
          <w:sz w:val="26"/>
          <w:szCs w:val="26"/>
        </w:rPr>
        <w:t xml:space="preserve">нарушение  Письма  ФАС России от 01.07.2016 № ИА </w:t>
      </w:r>
      <w:r>
        <w:rPr>
          <w:i/>
          <w:iCs/>
          <w:sz w:val="26"/>
          <w:szCs w:val="26"/>
        </w:rPr>
        <w:t>44536/</w:t>
      </w:r>
      <w:r>
        <w:rPr>
          <w:i w:val="false"/>
          <w:iCs w:val="false"/>
          <w:sz w:val="26"/>
          <w:szCs w:val="26"/>
        </w:rPr>
        <w:t>16  по установлению  в закупке избыточного требования к товарам и некорректных требований  по установлению единицы измерения к отдельным видам товаров, а также ограничение числа  участников  закупки (</w:t>
      </w:r>
      <w:r>
        <w:rPr>
          <w:i/>
          <w:iCs/>
          <w:sz w:val="26"/>
          <w:szCs w:val="26"/>
        </w:rPr>
        <w:t>изложены в дополнении к жалобе).</w:t>
      </w:r>
    </w:p>
    <w:p>
      <w:pPr>
        <w:pStyle w:val="Normal"/>
        <w:jc w:val="both"/>
        <w:rPr>
          <w:i w:val="false"/>
          <w:i w:val="false"/>
          <w:iCs w:val="false"/>
          <w:sz w:val="26"/>
          <w:szCs w:val="26"/>
        </w:rPr>
      </w:pPr>
      <w:r>
        <w:rPr>
          <w:i w:val="false"/>
          <w:iCs w:val="false"/>
          <w:sz w:val="26"/>
          <w:szCs w:val="26"/>
        </w:rPr>
        <w:tab/>
        <w:t xml:space="preserve">Представители Заказчика  жалобу Заявителя   считают  необоснованным и  нарушений  Закона  о контрактной системе   в действиях аукционной комиссии не усматривают, поскольку аукционная документация, в том  числе  его отдельные части, а также позиции товаров, составлены  и обоснованы с учетом требований  действующего законодательства. </w:t>
      </w:r>
    </w:p>
    <w:p>
      <w:pPr>
        <w:pStyle w:val="Normal"/>
        <w:jc w:val="both"/>
        <w:rPr/>
      </w:pPr>
      <w:r>
        <w:rPr>
          <w:sz w:val="26"/>
          <w:szCs w:val="26"/>
        </w:rPr>
        <w:tab/>
      </w:r>
      <w:r>
        <w:rPr>
          <w:sz w:val="26"/>
          <w:szCs w:val="26"/>
          <w:u w:val="single"/>
        </w:rPr>
        <w:t>Рассмотрев существо жалобы и в результате изучения представленных документов, сведений, доводов сторон жалобы, пояснений, проведения внеплановой проверки  определения поставщика  (подрядчика, исполнителя) путем проведения электронного аукциона на предмет соответствия требованиям законодательства Российской Федерации о контрактной системе, Комиссией выяснены следующие обстоятельства, регламентированные нормами материального права.</w:t>
        <w:tab/>
      </w:r>
    </w:p>
    <w:p>
      <w:pPr>
        <w:pStyle w:val="Normal"/>
        <w:jc w:val="both"/>
        <w:rPr>
          <w:sz w:val="26"/>
          <w:szCs w:val="26"/>
        </w:rPr>
      </w:pPr>
      <w:r>
        <w:rPr>
          <w:sz w:val="26"/>
          <w:szCs w:val="26"/>
        </w:rPr>
        <w:tab/>
        <w:t>На основании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Normal"/>
        <w:jc w:val="both"/>
        <w:rPr>
          <w:sz w:val="26"/>
          <w:szCs w:val="26"/>
        </w:rPr>
      </w:pPr>
      <w:r>
        <w:rPr>
          <w:sz w:val="26"/>
          <w:szCs w:val="26"/>
        </w:rPr>
        <w:tab/>
        <w:t>В силу пункта 1 части 1 статьи 64 данного Закона документация об электронном аукционе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Normal"/>
        <w:jc w:val="both"/>
        <w:rPr>
          <w:sz w:val="26"/>
          <w:szCs w:val="26"/>
        </w:rPr>
      </w:pPr>
      <w:r>
        <w:rPr>
          <w:sz w:val="26"/>
          <w:szCs w:val="26"/>
        </w:rPr>
        <w:tab/>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Normal"/>
        <w:jc w:val="both"/>
        <w:rPr/>
      </w:pPr>
      <w:r>
        <w:rPr>
          <w:sz w:val="26"/>
          <w:szCs w:val="26"/>
        </w:rPr>
        <w:tab/>
      </w:r>
      <w:r>
        <w:rPr>
          <w:sz w:val="26"/>
          <w:szCs w:val="26"/>
          <w:u w:val="single"/>
        </w:rPr>
        <w:t>Проанализировав положения норм права в совокупности с фактическими обстоятельствами дела, и исходя из последовательности  порядковой нумерации доводов, изложенных  в жалобе, Комиссия  при оценке  доводов жалобы  Заявителя  исходит  из следующих  оснований:</w:t>
      </w:r>
    </w:p>
    <w:p>
      <w:pPr>
        <w:pStyle w:val="Normal"/>
        <w:jc w:val="both"/>
        <w:rPr/>
      </w:pPr>
      <w:r>
        <w:rPr>
          <w:rFonts w:cs="Times New Roman"/>
          <w:b w:val="false"/>
          <w:bCs w:val="false"/>
          <w:i w:val="false"/>
          <w:strike w:val="false"/>
          <w:dstrike w:val="false"/>
          <w:sz w:val="26"/>
          <w:szCs w:val="26"/>
          <w:u w:val="none"/>
        </w:rPr>
        <w:tab/>
      </w:r>
      <w:r>
        <w:rPr>
          <w:rFonts w:cs="Times New Roman"/>
          <w:b/>
          <w:bCs/>
          <w:i w:val="false"/>
          <w:strike w:val="false"/>
          <w:dstrike w:val="false"/>
          <w:sz w:val="26"/>
          <w:szCs w:val="26"/>
          <w:u w:val="none"/>
        </w:rPr>
        <w:t>1.</w:t>
      </w:r>
      <w:r>
        <w:rPr>
          <w:rFonts w:cs="Times New Roman"/>
          <w:b w:val="false"/>
          <w:bCs w:val="false"/>
          <w:i w:val="false"/>
          <w:strike w:val="false"/>
          <w:dstrike w:val="false"/>
          <w:sz w:val="26"/>
          <w:szCs w:val="26"/>
          <w:u w:val="none"/>
        </w:rPr>
        <w:t xml:space="preserve"> Статья 7 Закона о контрактной системе, предусматривающая принципы открытости и прозрачности настоящего Закона, указывает на то, что в</w:t>
      </w:r>
      <w:r>
        <w:rPr>
          <w:rFonts w:cs="Times New Roman"/>
          <w:b w:val="false"/>
          <w:i w:val="false"/>
          <w:strike w:val="false"/>
          <w:dstrike w:val="false"/>
          <w:sz w:val="26"/>
          <w:szCs w:val="26"/>
          <w:u w:val="none"/>
        </w:rPr>
        <w:t xml:space="preserve"> Российской Федерации обеспечивается свободный и безвозмездный доступ к информации о контрактной системе в сфере закупок (часть 1). Открытость и прозрачность информации, указанной в </w:t>
      </w:r>
      <w:r>
        <w:rPr>
          <w:rFonts w:cs="Times New Roman"/>
          <w:b w:val="false"/>
          <w:i w:val="false"/>
          <w:strike w:val="false"/>
          <w:dstrike w:val="false"/>
          <w:color w:val="0000FF"/>
          <w:sz w:val="26"/>
          <w:szCs w:val="26"/>
          <w:u w:val="none"/>
        </w:rPr>
        <w:t>части 1</w:t>
      </w:r>
      <w:r>
        <w:rPr>
          <w:rFonts w:cs="Times New Roman"/>
          <w:b w:val="false"/>
          <w:i w:val="false"/>
          <w:strike w:val="false"/>
          <w:dstrike w:val="false"/>
          <w:sz w:val="26"/>
          <w:szCs w:val="26"/>
          <w:u w:val="none"/>
        </w:rPr>
        <w:t xml:space="preserve"> настоящей статьи, обеспечиваются, в частности, путем ее размещения в единой информационной системе ( часть 2).</w:t>
      </w:r>
    </w:p>
    <w:p>
      <w:pPr>
        <w:pStyle w:val="Normal"/>
        <w:jc w:val="both"/>
        <w:rPr>
          <w:rFonts w:cs="Times New Roman"/>
          <w:b w:val="false"/>
          <w:b w:val="false"/>
          <w:i w:val="false"/>
          <w:i w:val="false"/>
          <w:strike w:val="false"/>
          <w:dstrike w:val="false"/>
          <w:sz w:val="26"/>
          <w:szCs w:val="26"/>
          <w:u w:val="none"/>
        </w:rPr>
      </w:pPr>
      <w:r>
        <w:rPr>
          <w:rFonts w:cs="Times New Roman"/>
          <w:b w:val="false"/>
          <w:i w:val="false"/>
          <w:strike w:val="false"/>
          <w:dstrike w:val="false"/>
          <w:sz w:val="26"/>
          <w:szCs w:val="26"/>
          <w:u w:val="none"/>
        </w:rPr>
        <w:tab/>
        <w:t>Информация, предусмотренная настоящим Федеральным законом и размещенная в единой информационной системе, должна быть полной и достоверной (часть 3).</w:t>
      </w:r>
    </w:p>
    <w:p>
      <w:pPr>
        <w:pStyle w:val="Normal"/>
        <w:jc w:val="both"/>
        <w:rPr>
          <w:rFonts w:cs="Times New Roman"/>
          <w:sz w:val="26"/>
          <w:szCs w:val="26"/>
        </w:rPr>
      </w:pPr>
      <w:r>
        <w:rPr>
          <w:rFonts w:cs="Times New Roman"/>
          <w:sz w:val="26"/>
          <w:szCs w:val="26"/>
        </w:rPr>
        <w:tab/>
        <w:t xml:space="preserve">В соответствии со статьей  11  Закона  о контрактной системе  контрактная система в сфере закупок основывается на единых принципах и подходах, предусмотренных настоящим Федеральным законом и позволяющих  обеспечивать государственные и муниципальные нужды посредством планирования и осуществления закупок, их мониторинга, аудита в  сфере закупок, а также контроля  в сфере закупок. </w:t>
      </w:r>
    </w:p>
    <w:p>
      <w:pPr>
        <w:pStyle w:val="Normal"/>
        <w:jc w:val="both"/>
        <w:rPr>
          <w:rFonts w:cs="Times New Roman"/>
          <w:sz w:val="26"/>
          <w:szCs w:val="26"/>
        </w:rPr>
      </w:pPr>
      <w:r>
        <w:rPr>
          <w:rFonts w:cs="Times New Roman"/>
          <w:sz w:val="26"/>
          <w:szCs w:val="26"/>
        </w:rPr>
        <w:tab/>
        <w:t>Таким  образом, совокупность условий Закона о контрактной системе и  других правовых положений действующего законодательства позволяет  выявлению  нарушений в сфере закупок.</w:t>
      </w:r>
    </w:p>
    <w:p>
      <w:pPr>
        <w:pStyle w:val="Normal"/>
        <w:jc w:val="both"/>
        <w:rPr/>
      </w:pPr>
      <w:r>
        <w:rPr>
          <w:rFonts w:eastAsia="Times New Roman" w:cs="Times New Roman"/>
          <w:sz w:val="26"/>
          <w:szCs w:val="26"/>
        </w:rPr>
        <w:t xml:space="preserve"> </w:t>
      </w:r>
      <w:r>
        <w:rPr>
          <w:sz w:val="26"/>
          <w:szCs w:val="26"/>
        </w:rPr>
        <w:tab/>
        <w:t xml:space="preserve">Согласно пункта 1 части 1 статьи 33 Закона о контрактной системе </w:t>
      </w:r>
      <w:r>
        <w:rPr>
          <w:rFonts w:cs="Times New Roman"/>
          <w:sz w:val="26"/>
          <w:szCs w:val="26"/>
        </w:rPr>
        <w:t xml:space="preserve"> </w:t>
      </w:r>
      <w:r>
        <w:rPr>
          <w:rFonts w:cs="Times New Roman"/>
          <w:b w:val="false"/>
          <w:i w:val="false"/>
          <w:strike w:val="false"/>
          <w:dstrike w:val="false"/>
          <w:sz w:val="26"/>
          <w:szCs w:val="26"/>
          <w:u w:val="none"/>
        </w:rPr>
        <w:t xml:space="preserve">Заказчик при описании в документации о закупке объекта закупки должен руководствоваться следующими правилами: в описании объекта закупки указываются его функциональные, технические, качественные и эксплуатационные  характеристики  (при необходимости). </w:t>
      </w:r>
    </w:p>
    <w:p>
      <w:pPr>
        <w:pStyle w:val="Normal"/>
        <w:jc w:val="both"/>
        <w:rPr>
          <w:rFonts w:cs="Times New Roman"/>
          <w:b w:val="false"/>
          <w:b w:val="false"/>
          <w:i w:val="false"/>
          <w:i w:val="false"/>
          <w:strike w:val="false"/>
          <w:dstrike w:val="false"/>
          <w:sz w:val="26"/>
          <w:szCs w:val="26"/>
          <w:u w:val="none"/>
        </w:rPr>
      </w:pPr>
      <w:r>
        <w:rPr>
          <w:rFonts w:cs="Times New Roman"/>
          <w:b w:val="false"/>
          <w:i w:val="false"/>
          <w:strike w:val="false"/>
          <w:dstrike w:val="false"/>
          <w:sz w:val="26"/>
          <w:szCs w:val="26"/>
          <w:u w:val="none"/>
        </w:rPr>
        <w:tab/>
        <w:t>В соответствии с частью 2 данного Закона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w:t>
      </w:r>
    </w:p>
    <w:p>
      <w:pPr>
        <w:pStyle w:val="Normal"/>
        <w:jc w:val="both"/>
        <w:rPr>
          <w:rFonts w:cs="Times New Roman"/>
          <w:b w:val="false"/>
          <w:b w:val="false"/>
          <w:i w:val="false"/>
          <w:i w:val="false"/>
          <w:strike w:val="false"/>
          <w:dstrike w:val="false"/>
          <w:sz w:val="26"/>
          <w:szCs w:val="26"/>
          <w:u w:val="none"/>
        </w:rPr>
      </w:pPr>
      <w:r>
        <w:rPr>
          <w:rFonts w:cs="Times New Roman"/>
          <w:b w:val="false"/>
          <w:i w:val="false"/>
          <w:strike w:val="false"/>
          <w:dstrike w:val="false"/>
          <w:sz w:val="26"/>
          <w:szCs w:val="26"/>
          <w:u w:val="none"/>
        </w:rPr>
        <w:tab/>
        <w:t>Из положений  части 1 статьи 743 Гражданского кодекса Российской Федерации (далее- ГК РФ) и части  6 статьи 52 Градостроительного Кодекса  Российской  Федерации (далее- ГрК РФ) изложенные  в вышеуказанной норме  Закона о контрактной системе характеристики (пункт 1 части 1 статьи 33) содержатся в проектной документации.</w:t>
      </w:r>
    </w:p>
    <w:p>
      <w:pPr>
        <w:pStyle w:val="Normal"/>
        <w:jc w:val="both"/>
        <w:rPr/>
      </w:pPr>
      <w:r>
        <w:rPr>
          <w:rFonts w:cs="Times New Roman"/>
          <w:b w:val="false"/>
          <w:i w:val="false"/>
          <w:strike w:val="false"/>
          <w:dstrike w:val="false"/>
          <w:sz w:val="26"/>
          <w:szCs w:val="26"/>
          <w:u w:val="none"/>
        </w:rPr>
        <w:tab/>
        <w:t>Согласно  части 2 статьи 48 ГрК РФ  проектная документация</w:t>
      </w:r>
      <w:r>
        <w:rPr>
          <w:rFonts w:cs="Arial" w:ascii="Arial" w:hAnsi="Arial"/>
          <w:b w:val="false"/>
          <w:i w:val="false"/>
          <w:strike w:val="false"/>
          <w:dstrike w:val="false"/>
          <w:sz w:val="20"/>
          <w:szCs w:val="26"/>
          <w:u w:val="none"/>
        </w:rPr>
        <w:t xml:space="preserve"> </w:t>
      </w:r>
      <w:r>
        <w:rPr>
          <w:rFonts w:cs="Times New Roman"/>
          <w:b w:val="false"/>
          <w:i w:val="false"/>
          <w:strike w:val="false"/>
          <w:dstrike w:val="false"/>
          <w:sz w:val="26"/>
          <w:szCs w:val="26"/>
          <w:u w:val="none"/>
        </w:rPr>
        <w:t xml:space="preserve">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(в ред. Федеральных законов от 18.07.2011 </w:t>
      </w:r>
      <w:r>
        <w:rPr>
          <w:rFonts w:cs="Times New Roman"/>
          <w:b w:val="false"/>
          <w:i w:val="false"/>
          <w:strike w:val="false"/>
          <w:dstrike w:val="false"/>
          <w:color w:val="0000FF"/>
          <w:sz w:val="26"/>
          <w:szCs w:val="26"/>
          <w:u w:val="none"/>
        </w:rPr>
        <w:t>N 243-ФЗ</w:t>
      </w:r>
      <w:r>
        <w:rPr>
          <w:rFonts w:cs="Times New Roman"/>
          <w:b w:val="false"/>
          <w:i w:val="false"/>
          <w:strike w:val="false"/>
          <w:dstrike w:val="false"/>
          <w:sz w:val="26"/>
          <w:szCs w:val="26"/>
          <w:u w:val="none"/>
        </w:rPr>
        <w:t xml:space="preserve">, от 03.08.2018 </w:t>
      </w:r>
      <w:r>
        <w:rPr>
          <w:rFonts w:cs="Times New Roman"/>
          <w:b w:val="false"/>
          <w:i w:val="false"/>
          <w:strike w:val="false"/>
          <w:dstrike w:val="false"/>
          <w:color w:val="0000FF"/>
          <w:sz w:val="26"/>
          <w:szCs w:val="26"/>
          <w:u w:val="none"/>
        </w:rPr>
        <w:t>N 342-ФЗ</w:t>
      </w:r>
      <w:r>
        <w:rPr>
          <w:rFonts w:cs="Times New Roman"/>
          <w:b w:val="false"/>
          <w:i w:val="false"/>
          <w:strike w:val="false"/>
          <w:dstrike w:val="false"/>
          <w:sz w:val="26"/>
          <w:szCs w:val="26"/>
          <w:u w:val="none"/>
        </w:rPr>
        <w:t xml:space="preserve">, от 27.06.2019 </w:t>
      </w:r>
      <w:r>
        <w:rPr>
          <w:rFonts w:cs="Times New Roman"/>
          <w:b w:val="false"/>
          <w:i w:val="false"/>
          <w:strike w:val="false"/>
          <w:dstrike w:val="false"/>
          <w:color w:val="0000FF"/>
          <w:sz w:val="26"/>
          <w:szCs w:val="26"/>
          <w:u w:val="none"/>
        </w:rPr>
        <w:t>N 151-ФЗ</w:t>
      </w:r>
      <w:r>
        <w:rPr>
          <w:rFonts w:cs="Times New Roman"/>
          <w:b w:val="false"/>
          <w:i w:val="false"/>
          <w:strike w:val="false"/>
          <w:dstrike w:val="false"/>
          <w:sz w:val="26"/>
          <w:szCs w:val="26"/>
          <w:u w:val="none"/>
        </w:rPr>
        <w:t>).</w:t>
      </w:r>
    </w:p>
    <w:p>
      <w:pPr>
        <w:pStyle w:val="Normal"/>
        <w:jc w:val="both"/>
        <w:rPr>
          <w:rFonts w:cs="Times New Roman"/>
          <w:b w:val="false"/>
          <w:b w:val="false"/>
          <w:i w:val="false"/>
          <w:i w:val="false"/>
          <w:strike w:val="false"/>
          <w:dstrike w:val="false"/>
          <w:sz w:val="26"/>
          <w:szCs w:val="26"/>
          <w:u w:val="none"/>
        </w:rPr>
      </w:pPr>
      <w:r>
        <w:rPr>
          <w:rFonts w:cs="Times New Roman"/>
          <w:b w:val="false"/>
          <w:i w:val="false"/>
          <w:strike w:val="false"/>
          <w:dstrike w:val="false"/>
          <w:sz w:val="26"/>
          <w:szCs w:val="26"/>
          <w:u w:val="none"/>
        </w:rPr>
        <w:tab/>
        <w:t xml:space="preserve">Комиссией установлено, что к аукционной документации приложены  локальные сметные расчёты, техническое задание на выполнение работ, в том числе требования  к товарам и материалам, необходимым  для использования  в ходе выполнения работ, проектно-сметная документация и проект Контракта. </w:t>
      </w:r>
    </w:p>
    <w:p>
      <w:pPr>
        <w:pStyle w:val="Normal"/>
        <w:jc w:val="both"/>
        <w:rPr>
          <w:rFonts w:cs="Times New Roman"/>
          <w:b w:val="false"/>
          <w:b w:val="false"/>
          <w:i w:val="false"/>
          <w:i w:val="false"/>
          <w:strike w:val="false"/>
          <w:dstrike w:val="false"/>
          <w:sz w:val="26"/>
          <w:szCs w:val="26"/>
          <w:u w:val="none"/>
        </w:rPr>
      </w:pPr>
      <w:r>
        <w:rPr>
          <w:rFonts w:cs="Times New Roman"/>
          <w:b w:val="false"/>
          <w:i w:val="false"/>
          <w:strike w:val="false"/>
          <w:dstrike w:val="false"/>
          <w:sz w:val="26"/>
          <w:szCs w:val="26"/>
          <w:u w:val="none"/>
        </w:rPr>
        <w:tab/>
        <w:t>Тем самым, Заказчик  установил требования к объему работ, подлежащих  выполнению в рамках заключаемого контракта, достаточные для формирования  предложения для участия в аукционе.</w:t>
        <w:tab/>
      </w:r>
    </w:p>
    <w:p>
      <w:pPr>
        <w:pStyle w:val="Normal"/>
        <w:jc w:val="both"/>
        <w:rPr>
          <w:rFonts w:cs="Times New Roman"/>
          <w:b w:val="false"/>
          <w:b w:val="false"/>
          <w:i w:val="false"/>
          <w:i w:val="false"/>
          <w:strike w:val="false"/>
          <w:dstrike w:val="false"/>
          <w:sz w:val="26"/>
          <w:szCs w:val="26"/>
          <w:u w:val="none"/>
        </w:rPr>
      </w:pPr>
      <w:r>
        <w:rPr>
          <w:rFonts w:cs="Times New Roman"/>
          <w:b w:val="false"/>
          <w:i w:val="false"/>
          <w:strike w:val="false"/>
          <w:dstrike w:val="false"/>
          <w:sz w:val="26"/>
          <w:szCs w:val="26"/>
          <w:u w:val="none"/>
        </w:rPr>
        <w:tab/>
        <w:t>Исходя  из  анализа  данных норм следует, что  положительные заключения  государственной экспертизы проектной документации  и экспертиза достоверности  определения  сметной стоимости  не  входят в состав  технической документации,  определяющей объем, содержание работ и другие предъявляемые к ним  требования, и со сметой, определяющей  цену работ.</w:t>
      </w:r>
    </w:p>
    <w:p>
      <w:pPr>
        <w:pStyle w:val="Normal"/>
        <w:jc w:val="both"/>
        <w:rPr>
          <w:rFonts w:cs="Times New Roman"/>
          <w:b w:val="false"/>
          <w:b w:val="false"/>
          <w:i w:val="false"/>
          <w:i w:val="false"/>
          <w:strike w:val="false"/>
          <w:dstrike w:val="false"/>
          <w:sz w:val="26"/>
          <w:szCs w:val="26"/>
          <w:u w:val="none"/>
        </w:rPr>
      </w:pPr>
      <w:r>
        <w:rPr>
          <w:rFonts w:cs="Times New Roman"/>
          <w:b w:val="false"/>
          <w:i w:val="false"/>
          <w:strike w:val="false"/>
          <w:dstrike w:val="false"/>
          <w:sz w:val="26"/>
          <w:szCs w:val="26"/>
          <w:u w:val="none"/>
        </w:rPr>
        <w:tab/>
        <w:t>Комиссией установлено, что Заказчиком в ЕИС в полном объеме  размещена  проектная документация на строительство объекта.</w:t>
      </w:r>
    </w:p>
    <w:p>
      <w:pPr>
        <w:pStyle w:val="Normal"/>
        <w:jc w:val="both"/>
        <w:rPr>
          <w:rFonts w:cs="Times New Roman"/>
          <w:b w:val="false"/>
          <w:b w:val="false"/>
          <w:i w:val="false"/>
          <w:i w:val="false"/>
          <w:strike w:val="false"/>
          <w:dstrike w:val="false"/>
          <w:sz w:val="26"/>
          <w:szCs w:val="26"/>
          <w:u w:val="none"/>
        </w:rPr>
      </w:pPr>
      <w:r>
        <w:rPr>
          <w:rFonts w:cs="Times New Roman"/>
          <w:b w:val="false"/>
          <w:i w:val="false"/>
          <w:strike w:val="false"/>
          <w:dstrike w:val="false"/>
          <w:sz w:val="26"/>
          <w:szCs w:val="26"/>
          <w:u w:val="none"/>
        </w:rPr>
        <w:tab/>
        <w:t xml:space="preserve">Аукционная документация не содержит заключения государственной экспертизы по определению достоверности определения сметной стоимости. Однако Закон о контрактной  системе  не содержит  положений, согласно  которым  Заказчик обязан размещать в составе документации об Аукционе такое заключение. </w:t>
      </w:r>
    </w:p>
    <w:p>
      <w:pPr>
        <w:pStyle w:val="Normal"/>
        <w:jc w:val="both"/>
        <w:rPr>
          <w:rFonts w:cs="Times New Roman"/>
          <w:b w:val="false"/>
          <w:b w:val="false"/>
          <w:i w:val="false"/>
          <w:i w:val="false"/>
          <w:strike w:val="false"/>
          <w:dstrike w:val="false"/>
          <w:sz w:val="26"/>
          <w:szCs w:val="26"/>
          <w:u w:val="none"/>
        </w:rPr>
      </w:pPr>
      <w:r>
        <w:rPr>
          <w:rFonts w:cs="Times New Roman"/>
          <w:b w:val="false"/>
          <w:i w:val="false"/>
          <w:strike w:val="false"/>
          <w:dstrike w:val="false"/>
          <w:sz w:val="26"/>
          <w:szCs w:val="26"/>
          <w:u w:val="none"/>
        </w:rPr>
        <w:tab/>
        <w:t>На основании доводов жалобы  Комиссия  приходит к выводу о том, что письмо Минфина России от 16.07.2018 № 24-01-08/49385, указанный  Заявителем  в обоснование своих доводов, имеет  рекомендательный характер и не  относится к категории нормативных правовых актов, регулирующих спорные правоотношения  в  сфере контрактной  системы.  Кроме того, 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утвержденный  Президиумом  Верховного суда Российской  Федерации от 28.06.2017, не предусматривает прямого указания и выводов в отношении обязательного  размещения  в составе  аукционной документации  положительных заключений государственной экспертиз проектной документации и экспертиз достоверности  определения  сметной  стоимости.</w:t>
      </w:r>
    </w:p>
    <w:p>
      <w:pPr>
        <w:pStyle w:val="Normal"/>
        <w:jc w:val="both"/>
        <w:rPr>
          <w:rFonts w:cs="Times New Roman"/>
          <w:b w:val="false"/>
          <w:b w:val="false"/>
          <w:i w:val="false"/>
          <w:i w:val="false"/>
          <w:strike w:val="false"/>
          <w:dstrike w:val="false"/>
          <w:sz w:val="26"/>
          <w:szCs w:val="26"/>
          <w:u w:val="none"/>
        </w:rPr>
      </w:pPr>
      <w:r>
        <w:rPr>
          <w:rFonts w:cs="Times New Roman"/>
          <w:b w:val="false"/>
          <w:i w:val="false"/>
          <w:strike w:val="false"/>
          <w:dstrike w:val="false"/>
          <w:sz w:val="26"/>
          <w:szCs w:val="26"/>
          <w:u w:val="none"/>
        </w:rPr>
        <w:tab/>
        <w:t>В силу изложенных правовых оснований Комиссия в  действиях Заказчика  не усматривает  нарушение части 3  статьи 7 Закона  о контрактной системе, то есть  нарушения  принципов   открытости и   прозрачности настоящего  Закона.</w:t>
      </w:r>
    </w:p>
    <w:p>
      <w:pPr>
        <w:pStyle w:val="Normal"/>
        <w:jc w:val="both"/>
        <w:rPr>
          <w:sz w:val="26"/>
          <w:szCs w:val="26"/>
        </w:rPr>
      </w:pPr>
      <w:r>
        <w:rPr>
          <w:sz w:val="26"/>
          <w:szCs w:val="26"/>
        </w:rPr>
      </w:r>
    </w:p>
    <w:p>
      <w:pPr>
        <w:pStyle w:val="Normal"/>
        <w:jc w:val="both"/>
        <w:rPr/>
      </w:pPr>
      <w:r>
        <w:rPr>
          <w:sz w:val="26"/>
          <w:szCs w:val="26"/>
        </w:rPr>
        <w:tab/>
      </w:r>
      <w:r>
        <w:rPr>
          <w:b/>
          <w:bCs/>
          <w:sz w:val="26"/>
          <w:szCs w:val="26"/>
        </w:rPr>
        <w:t xml:space="preserve">2. </w:t>
      </w:r>
      <w:r>
        <w:rPr>
          <w:sz w:val="26"/>
          <w:szCs w:val="26"/>
        </w:rPr>
        <w:t xml:space="preserve">В соответствии  с частью 3 статьи  96  Закона о контрактной системе  </w:t>
      </w:r>
      <w:r>
        <w:rPr>
          <w:rFonts w:cs="Arial" w:ascii="Arial" w:hAnsi="Arial"/>
          <w:b w:val="false"/>
          <w:i w:val="false"/>
          <w:strike w:val="false"/>
          <w:dstrike w:val="false"/>
          <w:sz w:val="20"/>
          <w:u w:val="none"/>
        </w:rPr>
        <w:t xml:space="preserve"> и</w:t>
      </w:r>
      <w:r>
        <w:rPr>
          <w:rFonts w:cs="Times New Roman"/>
          <w:b w:val="false"/>
          <w:i w:val="false"/>
          <w:strike w:val="false"/>
          <w:dstrike w:val="false"/>
          <w:sz w:val="26"/>
          <w:szCs w:val="26"/>
          <w:u w:val="none"/>
        </w:rPr>
        <w:t xml:space="preserve">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w:t>
      </w:r>
      <w:r>
        <w:rPr>
          <w:rFonts w:cs="Times New Roman"/>
          <w:b w:val="false"/>
          <w:i w:val="false"/>
          <w:strike w:val="false"/>
          <w:dstrike w:val="false"/>
          <w:color w:val="0000FF"/>
          <w:sz w:val="26"/>
          <w:szCs w:val="26"/>
          <w:u w:val="none"/>
        </w:rPr>
        <w:t>статьи 45</w:t>
      </w:r>
      <w:r>
        <w:rPr>
          <w:rFonts w:cs="Times New Roman"/>
          <w:b w:val="false"/>
          <w:i w:val="false"/>
          <w:strike w:val="false"/>
          <w:dstrike w:val="false"/>
          <w:sz w:val="26"/>
          <w:szCs w:val="26"/>
          <w:u w:val="none"/>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w:t>
      </w:r>
      <w:r>
        <w:rPr>
          <w:rFonts w:cs="Times New Roman"/>
          <w:b w:val="false"/>
          <w:i w:val="false"/>
          <w:strike w:val="false"/>
          <w:dstrike w:val="false"/>
          <w:color w:val="0000FF"/>
          <w:sz w:val="26"/>
          <w:szCs w:val="26"/>
          <w:u w:val="none"/>
        </w:rPr>
        <w:t>статьей 95</w:t>
      </w:r>
      <w:r>
        <w:rPr>
          <w:rFonts w:cs="Times New Roman"/>
          <w:b w:val="false"/>
          <w:i w:val="false"/>
          <w:strike w:val="false"/>
          <w:dstrike w:val="false"/>
          <w:sz w:val="26"/>
          <w:szCs w:val="26"/>
          <w:u w:val="none"/>
        </w:rPr>
        <w:t xml:space="preserve"> настоящего Федерального закона (часть 3 в ред. Федерального </w:t>
      </w:r>
      <w:r>
        <w:rPr>
          <w:rFonts w:cs="Times New Roman"/>
          <w:b w:val="false"/>
          <w:i w:val="false"/>
          <w:strike w:val="false"/>
          <w:dstrike w:val="false"/>
          <w:color w:val="0000FF"/>
          <w:sz w:val="26"/>
          <w:szCs w:val="26"/>
          <w:u w:val="none"/>
        </w:rPr>
        <w:t>закона</w:t>
      </w:r>
      <w:r>
        <w:rPr>
          <w:rFonts w:cs="Times New Roman"/>
          <w:b w:val="false"/>
          <w:i w:val="false"/>
          <w:strike w:val="false"/>
          <w:dstrike w:val="false"/>
          <w:sz w:val="26"/>
          <w:szCs w:val="26"/>
          <w:u w:val="none"/>
        </w:rPr>
        <w:t xml:space="preserve"> от 01.05.2019 N 71-ФЗ).</w:t>
      </w:r>
      <w:r>
        <w:rPr>
          <w:sz w:val="26"/>
          <w:szCs w:val="26"/>
        </w:rPr>
        <w:tab/>
      </w:r>
    </w:p>
    <w:p>
      <w:pPr>
        <w:pStyle w:val="Normal"/>
        <w:jc w:val="both"/>
        <w:rPr>
          <w:sz w:val="26"/>
          <w:szCs w:val="26"/>
        </w:rPr>
      </w:pPr>
      <w:r>
        <w:rPr>
          <w:sz w:val="26"/>
          <w:szCs w:val="26"/>
        </w:rPr>
        <w:tab/>
        <w:t xml:space="preserve">Согласно аукционной документации работы по Контракту Подрядчиком  должны быть выполнены в срок  до  30 октября 2020 года. </w:t>
      </w:r>
    </w:p>
    <w:p>
      <w:pPr>
        <w:pStyle w:val="Normal"/>
        <w:jc w:val="both"/>
        <w:rPr>
          <w:sz w:val="26"/>
          <w:szCs w:val="26"/>
        </w:rPr>
      </w:pPr>
      <w:r>
        <w:rPr>
          <w:sz w:val="26"/>
          <w:szCs w:val="26"/>
        </w:rPr>
        <w:tab/>
        <w:t>При этом Закон о контрактной системе не содержит требований, касающихся определения срока выполнения работ, поскольку Заказчик  самостоятельно определяет  необходимый для него  срок  выполнения работ по Контракту.</w:t>
      </w:r>
    </w:p>
    <w:p>
      <w:pPr>
        <w:pStyle w:val="Normal"/>
        <w:jc w:val="both"/>
        <w:rPr>
          <w:sz w:val="26"/>
          <w:szCs w:val="26"/>
        </w:rPr>
      </w:pPr>
      <w:r>
        <w:rPr>
          <w:sz w:val="26"/>
          <w:szCs w:val="26"/>
        </w:rPr>
        <w:tab/>
        <w:t xml:space="preserve">Однако довод Заявителя жалобы о том, что положениями Закона о контрактной системе  не предусмотрено право  Заказчика  на изменение  срока  действия  банковской  гарантии, установленного частью 3  статьи 96 Закона  о контрактной системе, в том числе  исходя из смысла  срока выполнения работ,  является необоснованной в силу  следующего правового основания. </w:t>
      </w:r>
    </w:p>
    <w:p>
      <w:pPr>
        <w:pStyle w:val="Normal"/>
        <w:jc w:val="both"/>
        <w:rPr/>
      </w:pPr>
      <w:r>
        <w:rPr>
          <w:sz w:val="26"/>
          <w:szCs w:val="26"/>
        </w:rPr>
        <w:tab/>
        <w:t>На основании пункта 6.2.1  Раздела 6.2 «Требования к обеспечению  исполнения контракта»  Документации об аукционе Заказчика предусмотрено:  «</w:t>
      </w:r>
      <w:r>
        <w:rPr>
          <w:i/>
          <w:iCs/>
          <w:sz w:val="26"/>
          <w:szCs w:val="26"/>
        </w:rPr>
        <w:t>Исполнение  контракта   может  обеспечиваться  предоставлением  банковской гарантии, выданной  банком  и соответствующей  требованиям  статьи 45 Закона, или внесением денежных средств  на указанный  в Информационной карте аукциона счёт заказчика,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аукциона, с которым контракт, самостоятельно. Срок  действия  банковской гарантии  указывается  в Информационной карте  аукциона».</w:t>
      </w:r>
    </w:p>
    <w:p>
      <w:pPr>
        <w:pStyle w:val="Normal"/>
        <w:jc w:val="both"/>
        <w:rPr/>
      </w:pPr>
      <w:r>
        <w:rPr>
          <w:i/>
          <w:iCs/>
          <w:sz w:val="26"/>
          <w:szCs w:val="26"/>
        </w:rPr>
        <w:tab/>
      </w:r>
      <w:r>
        <w:rPr>
          <w:i w:val="false"/>
          <w:iCs w:val="false"/>
          <w:sz w:val="26"/>
          <w:szCs w:val="26"/>
        </w:rPr>
        <w:t xml:space="preserve">Согласно подпунктов 6.1.1, 6.1.9, 6.1.12, 6.2.1, 6.2.2 Информационной карты  аукциона </w:t>
      </w:r>
      <w:r>
        <w:rPr>
          <w:i w:val="false"/>
          <w:iCs w:val="false"/>
          <w:sz w:val="26"/>
          <w:szCs w:val="26"/>
          <w:u w:val="single"/>
        </w:rPr>
        <w:t xml:space="preserve"> срок  действия  безотзывной  банковской гарантии, выданной банком, установлен  по 01 февраля  2021 г. (включительно).</w:t>
      </w:r>
      <w:r>
        <w:rPr>
          <w:i w:val="false"/>
          <w:iCs w:val="false"/>
          <w:sz w:val="26"/>
          <w:szCs w:val="26"/>
        </w:rPr>
        <w:t xml:space="preserve"> </w:t>
      </w:r>
      <w:r>
        <w:rPr>
          <w:i/>
          <w:iCs/>
          <w:sz w:val="26"/>
          <w:szCs w:val="26"/>
        </w:rPr>
        <w:t xml:space="preserve"> </w:t>
      </w:r>
    </w:p>
    <w:p>
      <w:pPr>
        <w:pStyle w:val="Normal"/>
        <w:jc w:val="both"/>
        <w:rPr>
          <w:sz w:val="26"/>
          <w:szCs w:val="26"/>
        </w:rPr>
      </w:pPr>
      <w:r>
        <w:rPr>
          <w:sz w:val="26"/>
          <w:szCs w:val="26"/>
        </w:rPr>
        <w:tab/>
        <w:t>Законодателем не установлен максимальный предел действия банковской гарантии.</w:t>
      </w:r>
    </w:p>
    <w:p>
      <w:pPr>
        <w:pStyle w:val="Normal"/>
        <w:jc w:val="both"/>
        <w:rPr>
          <w:sz w:val="26"/>
          <w:szCs w:val="26"/>
        </w:rPr>
      </w:pPr>
      <w:r>
        <w:rPr>
          <w:sz w:val="26"/>
          <w:szCs w:val="26"/>
        </w:rPr>
        <w:tab/>
        <w:t>Комиссия отмечает, что  в соответствии с вышеуказанной  нормой закона,   срок действия  банковской гарантии над сроком контракта превышает, то есть Заказчиком  соблюден  установленный предел превышения  банковской гарантии, предусмотренный частью 3 статьи 96 Закона о  контрактной  системе, в связи с чем  в действиях  Заказчика  нарушений  норм  закона  не подтверждаются.</w:t>
      </w:r>
    </w:p>
    <w:p>
      <w:pPr>
        <w:pStyle w:val="Normal"/>
        <w:jc w:val="both"/>
        <w:rPr/>
      </w:pPr>
      <w:r>
        <w:rPr/>
      </w:r>
    </w:p>
    <w:p>
      <w:pPr>
        <w:pStyle w:val="Normal"/>
        <w:jc w:val="both"/>
        <w:rPr/>
      </w:pPr>
      <w:r>
        <w:rPr>
          <w:sz w:val="26"/>
          <w:szCs w:val="26"/>
        </w:rPr>
        <w:tab/>
      </w:r>
      <w:r>
        <w:rPr>
          <w:b/>
          <w:bCs/>
          <w:sz w:val="26"/>
          <w:szCs w:val="26"/>
        </w:rPr>
        <w:t>3.</w:t>
      </w:r>
      <w:r>
        <w:rPr>
          <w:sz w:val="26"/>
          <w:szCs w:val="26"/>
        </w:rPr>
        <w:t xml:space="preserve">Довод жалобы Заявителя о том, что размещенный Заказчиком график выполнения работ не соответствует утвержденной Приказом Министерства  строительства и жилищно-коммунального  Российской Федерации от 05 июня 2018 г. № 336/пр Методики составления  графика  выполнения строительно-  монтажных работ  и графика оплаты работ,  выполненных по  контракту (далее- Методика), Комиссия  оценивает  исходя  из следующих  оснований. </w:t>
      </w:r>
    </w:p>
    <w:p>
      <w:pPr>
        <w:pStyle w:val="Normal"/>
        <w:jc w:val="both"/>
        <w:rPr/>
      </w:pPr>
      <w:r>
        <w:rPr>
          <w:sz w:val="26"/>
          <w:szCs w:val="26"/>
        </w:rPr>
        <w:tab/>
        <w:t>В соответствии  с частью 5  статьи  110.2 Закона о контрактной системе к</w:t>
      </w:r>
      <w:r>
        <w:rPr>
          <w:rFonts w:cs="Times New Roman"/>
          <w:b w:val="false"/>
          <w:i w:val="false"/>
          <w:strike w:val="false"/>
          <w:dstrike w:val="false"/>
          <w:sz w:val="26"/>
          <w:szCs w:val="26"/>
          <w:u w:val="none"/>
        </w:rPr>
        <w:t>онтракт, предметом которого являются строительство и (или) реконструкция объектов капитального строительства, должен содержать условие о поэтапной оплате выполненных подрядчиком работ исходя из объема таких работ и цены контракта.</w:t>
      </w:r>
    </w:p>
    <w:p>
      <w:pPr>
        <w:pStyle w:val="Normal"/>
        <w:jc w:val="both"/>
        <w:rPr/>
      </w:pPr>
      <w:r>
        <w:rPr>
          <w:rFonts w:cs="Times New Roman"/>
          <w:b w:val="false"/>
          <w:i w:val="false"/>
          <w:strike w:val="false"/>
          <w:dstrike w:val="false"/>
          <w:sz w:val="26"/>
          <w:szCs w:val="26"/>
          <w:u w:val="none"/>
        </w:rPr>
        <w:tab/>
        <w:t xml:space="preserve">Согласно части 6 статьи 110.2 Закона о контрактной системе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 (часть 6 в ред. Федерального </w:t>
      </w:r>
      <w:r>
        <w:rPr>
          <w:rFonts w:cs="Times New Roman"/>
          <w:b w:val="false"/>
          <w:i w:val="false"/>
          <w:strike w:val="false"/>
          <w:dstrike w:val="false"/>
          <w:color w:val="0000FF"/>
          <w:sz w:val="26"/>
          <w:szCs w:val="26"/>
          <w:u w:val="none"/>
        </w:rPr>
        <w:t>закона</w:t>
      </w:r>
      <w:r>
        <w:rPr>
          <w:rFonts w:cs="Times New Roman"/>
          <w:b w:val="false"/>
          <w:i w:val="false"/>
          <w:strike w:val="false"/>
          <w:dstrike w:val="false"/>
          <w:sz w:val="26"/>
          <w:szCs w:val="26"/>
          <w:u w:val="none"/>
        </w:rPr>
        <w:t xml:space="preserve"> от 27.06.2019 N 151-ФЗ).</w:t>
      </w:r>
    </w:p>
    <w:p>
      <w:pPr>
        <w:pStyle w:val="Normal"/>
        <w:jc w:val="both"/>
        <w:rPr>
          <w:rFonts w:cs="Times New Roman"/>
          <w:sz w:val="26"/>
          <w:szCs w:val="26"/>
        </w:rPr>
      </w:pPr>
      <w:r>
        <w:rPr>
          <w:rFonts w:cs="Times New Roman"/>
          <w:sz w:val="26"/>
          <w:szCs w:val="26"/>
        </w:rPr>
        <w:tab/>
        <w:t>Объем  выполненных  по контракту  работ определяется  с учетом  статьи 743 Гражданского кодекса  Российской Федерации (далее- ГК РФ). При этом оплата  выполненных по контракту  работ  осуществляется в сроки и размерах, которые установлены  графиком оплаты  выполненных работ в сроки и  в размерах, которые установлены  графиком оплаты  выполненных  по контракту  работ с учетом графика  выполнения строительно- монтажных работ.</w:t>
      </w:r>
    </w:p>
    <w:p>
      <w:pPr>
        <w:pStyle w:val="Normal"/>
        <w:jc w:val="both"/>
        <w:rPr>
          <w:rFonts w:cs="Times New Roman"/>
          <w:sz w:val="26"/>
          <w:szCs w:val="26"/>
        </w:rPr>
      </w:pPr>
      <w:r>
        <w:rPr>
          <w:rFonts w:cs="Times New Roman"/>
          <w:sz w:val="26"/>
          <w:szCs w:val="26"/>
        </w:rPr>
        <w:tab/>
        <w:t xml:space="preserve">Комиссией установлено, что согласно подпункту 1.3.3 Информационной карты аукциона, пункту  3.1 проекта Контракта, графика выполнения строительно- монтажных работ (Приложение № 2 к Контракту) установлен срок  выполнения работ: с момента  заключения контракта, окончание- не позднее  30.10.2020. Кроме того, Заказчиком  в ЕИС  размещена  проектная документация,  в соответствии с которой  Подрядчиком будут  выполняться  работы. </w:t>
      </w:r>
    </w:p>
    <w:p>
      <w:pPr>
        <w:pStyle w:val="Normal"/>
        <w:jc w:val="both"/>
        <w:rPr>
          <w:rFonts w:cs="Times New Roman"/>
          <w:sz w:val="26"/>
          <w:szCs w:val="26"/>
        </w:rPr>
      </w:pPr>
      <w:r>
        <w:rPr>
          <w:rFonts w:cs="Times New Roman"/>
          <w:sz w:val="26"/>
          <w:szCs w:val="26"/>
        </w:rPr>
        <w:tab/>
        <w:t xml:space="preserve">Размещенный  Заказчиком график  выполнения строительно- монтажных работ в совокупности с условиями  проекта Контракта  содержит все  позиции, предусмотренные  вышеуказанной Методикой. </w:t>
      </w:r>
    </w:p>
    <w:p>
      <w:pPr>
        <w:pStyle w:val="Normal"/>
        <w:jc w:val="both"/>
        <w:rPr>
          <w:rFonts w:cs="Times New Roman"/>
          <w:sz w:val="26"/>
          <w:szCs w:val="26"/>
        </w:rPr>
      </w:pPr>
      <w:r>
        <w:rPr>
          <w:rFonts w:cs="Times New Roman"/>
          <w:sz w:val="26"/>
          <w:szCs w:val="26"/>
        </w:rPr>
        <w:tab/>
        <w:t>Закон о контрактной системе не требует включения в аукционную документацию  графика выполнения работ, графика оплаты  выполненных работ в виде отдельной формы. Более того, форма  таких  графиков  законодательно не установлена.</w:t>
      </w:r>
    </w:p>
    <w:p>
      <w:pPr>
        <w:pStyle w:val="Normal"/>
        <w:jc w:val="both"/>
        <w:rPr>
          <w:rFonts w:cs="Times New Roman"/>
          <w:sz w:val="26"/>
          <w:szCs w:val="26"/>
        </w:rPr>
      </w:pPr>
      <w:r>
        <w:rPr>
          <w:rFonts w:cs="Times New Roman"/>
          <w:sz w:val="26"/>
          <w:szCs w:val="26"/>
        </w:rPr>
        <w:tab/>
        <w:t xml:space="preserve"> Вместе  с тем при обозначении  доводов  жалобы  в отношении  действия Заказчика  Заявителем  указано  о  нарушении  статьи 110.2 Закона  о контрактной  системе без указания конкретной части. </w:t>
      </w:r>
    </w:p>
    <w:p>
      <w:pPr>
        <w:pStyle w:val="Normal"/>
        <w:jc w:val="both"/>
        <w:rPr>
          <w:rFonts w:cs="Times New Roman"/>
          <w:sz w:val="26"/>
          <w:szCs w:val="26"/>
        </w:rPr>
      </w:pPr>
      <w:r>
        <w:rPr>
          <w:rFonts w:cs="Times New Roman"/>
          <w:sz w:val="26"/>
          <w:szCs w:val="26"/>
        </w:rPr>
        <w:tab/>
        <w:t>Комиссия  считает, что доводы  Заявителя  в указанной части  являются необоснованными, Заказчиком  нарушения  статьи 110.2 Закона  о контрактной системе не допущены.</w:t>
      </w:r>
    </w:p>
    <w:p>
      <w:pPr>
        <w:pStyle w:val="Normal"/>
        <w:jc w:val="both"/>
        <w:rPr/>
      </w:pPr>
      <w:r>
        <w:rPr/>
      </w:r>
    </w:p>
    <w:p>
      <w:pPr>
        <w:pStyle w:val="Normal"/>
        <w:ind w:left="0" w:right="0" w:hanging="0"/>
        <w:jc w:val="both"/>
        <w:rPr/>
      </w:pPr>
      <w:r>
        <w:rPr>
          <w:rFonts w:cs="Times New Roman"/>
          <w:b/>
          <w:bCs/>
          <w:sz w:val="26"/>
          <w:szCs w:val="26"/>
        </w:rPr>
        <w:t xml:space="preserve">4.  </w:t>
      </w:r>
      <w:r>
        <w:rPr>
          <w:rFonts w:cs="Times New Roman"/>
          <w:b w:val="false"/>
          <w:bCs w:val="false"/>
          <w:sz w:val="26"/>
          <w:szCs w:val="26"/>
        </w:rPr>
        <w:t xml:space="preserve">Согласно части  2  статьи 52 ГрК РФ  работы  по договорам  о строительстве, реконструкции, капитальном  ремонте  объектов капитального строительства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если иное не установлено  настоящей  статьей.  </w:t>
      </w:r>
    </w:p>
    <w:p>
      <w:pPr>
        <w:pStyle w:val="Normal"/>
        <w:jc w:val="both"/>
        <w:rPr/>
      </w:pPr>
      <w:r>
        <w:rPr>
          <w:sz w:val="26"/>
          <w:szCs w:val="26"/>
        </w:rPr>
        <w:tab/>
        <w:t xml:space="preserve"> </w:t>
      </w:r>
      <w:r>
        <w:rPr>
          <w:rFonts w:cs="Times New Roman"/>
          <w:b w:val="false"/>
          <w:bCs w:val="false"/>
          <w:sz w:val="26"/>
          <w:szCs w:val="26"/>
        </w:rPr>
        <w:t xml:space="preserve">Довод жалобы Заявителя  о том, что исходя из  требований  части 2 статьи 52 ГрК РФ данное  обстоятельство должно подтверждаться  Выпиской  из реестра  членов саморегулируемой организации в области строительства по форме, утвержденной  Приказом  Ростехнадзора от 16.02.2017, по мнению Комиссии, является  обоснованным  в силу того факта, что  действительно данный  Приказ  утратил силу  в связи с изданием Приказа  Ростехнадзора  от 04. 03.2019 № 86, вступившего в силу по истечении 10 дней после  дня  официального опубликования  (опубликован  на Официальном интернет-портале  правовой информации  </w:t>
      </w:r>
      <w:hyperlink r:id="rId3">
        <w:r>
          <w:rPr>
            <w:rStyle w:val="Style16"/>
            <w:rFonts w:cs="Times New Roman"/>
            <w:b w:val="false"/>
            <w:bCs w:val="false"/>
            <w:sz w:val="26"/>
            <w:szCs w:val="26"/>
            <w:lang w:val="en-US"/>
          </w:rPr>
          <w:t>http:www.pravo.gov.ru</w:t>
        </w:r>
      </w:hyperlink>
      <w:r>
        <w:rPr>
          <w:rFonts w:cs="Times New Roman"/>
          <w:b w:val="false"/>
          <w:bCs w:val="false"/>
          <w:sz w:val="26"/>
          <w:szCs w:val="26"/>
          <w:lang w:val="en-US"/>
        </w:rPr>
        <w:t xml:space="preserve"> – 09/04/2019). </w:t>
      </w:r>
    </w:p>
    <w:p>
      <w:pPr>
        <w:pStyle w:val="Normal"/>
        <w:jc w:val="both"/>
        <w:rPr/>
      </w:pPr>
      <w:r>
        <w:rPr>
          <w:rFonts w:cs="Times New Roman"/>
          <w:b w:val="false"/>
          <w:bCs w:val="false"/>
          <w:sz w:val="26"/>
          <w:szCs w:val="26"/>
          <w:lang w:val="en-US"/>
        </w:rPr>
        <w:tab/>
        <w:t>Согласно ч</w:t>
      </w:r>
      <w:r>
        <w:rPr>
          <w:rFonts w:cs="Times New Roman"/>
          <w:b w:val="false"/>
          <w:bCs w:val="false"/>
          <w:sz w:val="26"/>
          <w:szCs w:val="26"/>
          <w:lang w:val="ru-RU"/>
        </w:rPr>
        <w:t xml:space="preserve">асти </w:t>
      </w:r>
      <w:r>
        <w:rPr>
          <w:rFonts w:cs="Times New Roman"/>
          <w:b w:val="false"/>
          <w:bCs w:val="false"/>
          <w:sz w:val="26"/>
          <w:szCs w:val="26"/>
          <w:lang w:val="en-US"/>
        </w:rPr>
        <w:t xml:space="preserve">6 </w:t>
      </w:r>
      <w:r>
        <w:rPr>
          <w:rFonts w:cs="Times New Roman"/>
          <w:b w:val="false"/>
          <w:bCs w:val="false"/>
          <w:sz w:val="26"/>
          <w:szCs w:val="26"/>
          <w:lang w:val="ru-RU"/>
        </w:rPr>
        <w:t>статьи 31</w:t>
      </w:r>
      <w:r>
        <w:rPr>
          <w:rFonts w:cs="Times New Roman"/>
          <w:b w:val="false"/>
          <w:bCs w:val="false"/>
          <w:sz w:val="26"/>
          <w:szCs w:val="26"/>
          <w:lang w:val="en-US"/>
        </w:rPr>
        <w:t xml:space="preserve">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pPr>
        <w:pStyle w:val="Normal"/>
        <w:jc w:val="both"/>
        <w:rPr>
          <w:sz w:val="26"/>
          <w:szCs w:val="26"/>
        </w:rPr>
      </w:pPr>
      <w:r>
        <w:rPr>
          <w:sz w:val="26"/>
          <w:szCs w:val="26"/>
        </w:rPr>
        <w:tab/>
        <w:t xml:space="preserve">Ввиду того, что  Заказчиком  установлены требования  к составу  второй  части заявки не в соответствии с действующим  законодательством на  момент размещения,  в действиях Заказчика  усматривается  нарушение части 6  статьи 31 Закона о контрактной системе. </w:t>
      </w:r>
    </w:p>
    <w:p>
      <w:pPr>
        <w:pStyle w:val="Normal"/>
        <w:jc w:val="both"/>
        <w:rPr>
          <w:sz w:val="26"/>
          <w:szCs w:val="26"/>
        </w:rPr>
      </w:pPr>
      <w:r>
        <w:rPr>
          <w:sz w:val="26"/>
          <w:szCs w:val="26"/>
        </w:rPr>
        <w:tab/>
        <w:t>Представители Заказчика  факт допуска технической ошибки  признали, указав на то, что  данное обстоятельство  не влияет на осуществление процедуры закупки,  но  с нарушением части 6  статьи 31 Закона  о контрактной системе   согласились.</w:t>
      </w:r>
    </w:p>
    <w:p>
      <w:pPr>
        <w:pStyle w:val="Normal"/>
        <w:jc w:val="both"/>
        <w:rPr>
          <w:sz w:val="26"/>
          <w:szCs w:val="26"/>
        </w:rPr>
      </w:pPr>
      <w:r>
        <w:rPr>
          <w:sz w:val="26"/>
          <w:szCs w:val="26"/>
        </w:rPr>
        <w:tab/>
        <w:t>В этой  связи  Комиссия в действиях аукционной комиссии усматривает признаки административного правонарушения, предусмотренное пунктом 4.2  статьи 7.30 КоАП РФ, и считает о необходимости передачи материалов дела  уполномоченному должностному  лицу Ненецкого УФАС России для решения  вопроса  о возбуждении административного производства.</w:t>
      </w:r>
    </w:p>
    <w:p>
      <w:pPr>
        <w:pStyle w:val="Normal"/>
        <w:jc w:val="both"/>
        <w:rPr>
          <w:sz w:val="26"/>
          <w:szCs w:val="26"/>
        </w:rPr>
      </w:pPr>
      <w:r>
        <w:rPr>
          <w:sz w:val="26"/>
          <w:szCs w:val="26"/>
        </w:rPr>
        <w:tab/>
      </w:r>
    </w:p>
    <w:p>
      <w:pPr>
        <w:pStyle w:val="Normal"/>
        <w:jc w:val="both"/>
        <w:rPr/>
      </w:pPr>
      <w:r>
        <w:rPr>
          <w:b/>
          <w:bCs/>
          <w:sz w:val="26"/>
          <w:szCs w:val="26"/>
        </w:rPr>
        <w:t xml:space="preserve">5. </w:t>
      </w:r>
      <w:r>
        <w:rPr>
          <w:sz w:val="26"/>
          <w:szCs w:val="26"/>
        </w:rPr>
        <w:t xml:space="preserve">Позиция Заявителя жалобы о том, что объектом закупки является </w:t>
      </w:r>
      <w:r>
        <w:rPr>
          <w:sz w:val="26"/>
          <w:szCs w:val="26"/>
          <w:u w:val="single"/>
        </w:rPr>
        <w:t>«</w:t>
      </w:r>
      <w:r>
        <w:rPr>
          <w:sz w:val="26"/>
          <w:szCs w:val="26"/>
          <w:u w:val="none"/>
        </w:rPr>
        <w:t>строительство объекта», которое не предполагает приобретение  Заказчиком  прав на результаты интеллектуальной деятельности, а сформированные подобным образом требования Заказчика об обладании участником закупки исключительными правами на результата интеллектуальной деятельности влечет нарушение  части 6  статьи 31 Закона о контрактной системе,  Комиссией  проанализированы   на основании следующих обстоятельств.</w:t>
      </w:r>
    </w:p>
    <w:p>
      <w:pPr>
        <w:pStyle w:val="Normal"/>
        <w:jc w:val="both"/>
        <w:rPr/>
      </w:pPr>
      <w:r>
        <w:rPr>
          <w:sz w:val="26"/>
          <w:szCs w:val="26"/>
          <w:u w:val="none"/>
        </w:rPr>
        <w:t xml:space="preserve"> </w:t>
      </w:r>
      <w:r>
        <w:rPr>
          <w:sz w:val="26"/>
          <w:szCs w:val="26"/>
          <w:u w:val="none"/>
        </w:rPr>
        <w:tab/>
        <w:t>Из пояснений Заказчика следует, что согласно  Информационной картой аукциона (далее- ИКА) Заказчиком установлены требования к участникам  закупки исходя  из  положений  статьи 31 Закона о контрактной системе. При этом  в ИКА  требования относительно обладания  участником аукциона исключительными правами на результаты интеллектуальной деятельности и предоставления соответствующей  декларации  Заказчиком не предъявлены ввиду того, что  объектом закупки  являются строительные работы.</w:t>
      </w:r>
    </w:p>
    <w:p>
      <w:pPr>
        <w:pStyle w:val="Normal"/>
        <w:jc w:val="both"/>
        <w:rPr/>
      </w:pPr>
      <w:r>
        <w:rPr>
          <w:sz w:val="26"/>
          <w:szCs w:val="26"/>
          <w:u w:val="none"/>
        </w:rPr>
        <w:tab/>
        <w:t xml:space="preserve">Комиссией установлено, что  Часть 1 Аукционной документации (подпункт 1.6.2.6) предусматривает </w:t>
      </w:r>
      <w:r>
        <w:rPr>
          <w:i/>
          <w:iCs/>
          <w:sz w:val="26"/>
          <w:szCs w:val="26"/>
          <w:u w:val="none"/>
        </w:rPr>
        <w:t>требование об обладании участником аукциона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  заключения  контрактов  на создание  произведений литературы или искусства исполнения,  на финансирование проката  или показа национального фильма.</w:t>
      </w:r>
    </w:p>
    <w:p>
      <w:pPr>
        <w:pStyle w:val="Normal"/>
        <w:jc w:val="both"/>
        <w:rPr/>
      </w:pPr>
      <w:r>
        <w:rPr>
          <w:i/>
          <w:iCs/>
          <w:sz w:val="26"/>
          <w:szCs w:val="26"/>
          <w:u w:val="none"/>
        </w:rPr>
        <w:tab/>
      </w:r>
      <w:r>
        <w:rPr>
          <w:i w:val="false"/>
          <w:iCs w:val="false"/>
          <w:sz w:val="26"/>
          <w:szCs w:val="26"/>
          <w:u w:val="none"/>
        </w:rPr>
        <w:t xml:space="preserve">Кроме того, в пункте  1.6.3.4  (абзац 2) Части 1 Аукционной документации предусмотрено о том, что перечень документов, которые подтверждают соответствие участников аукциона дополнительным требованиям, указывается в Информационной карте аукциона. </w:t>
      </w:r>
    </w:p>
    <w:p>
      <w:pPr>
        <w:pStyle w:val="Normal"/>
        <w:jc w:val="both"/>
        <w:rPr>
          <w:i w:val="false"/>
          <w:i w:val="false"/>
          <w:iCs w:val="false"/>
          <w:sz w:val="26"/>
          <w:szCs w:val="26"/>
          <w:u w:val="none"/>
        </w:rPr>
      </w:pPr>
      <w:r>
        <w:rPr>
          <w:i w:val="false"/>
          <w:iCs w:val="false"/>
          <w:sz w:val="26"/>
          <w:szCs w:val="26"/>
          <w:u w:val="none"/>
        </w:rPr>
        <w:tab/>
        <w:t>Таким образом,  выводы Заявителя, сделанные исходя  из содержания общей части  документации о проведении аукциона,  являются  необоснованными в  силу того, что в ИКА не предусмотрено право Заказчика на интеллектуальную собственность на выполнение работ по строительству объекта  пришкольный интернат  на 80 мест  в п. Каратайка.</w:t>
      </w:r>
    </w:p>
    <w:p>
      <w:pPr>
        <w:pStyle w:val="Normal"/>
        <w:jc w:val="both"/>
        <w:rPr>
          <w:i w:val="false"/>
          <w:i w:val="false"/>
          <w:iCs w:val="false"/>
          <w:sz w:val="26"/>
          <w:szCs w:val="26"/>
          <w:u w:val="none"/>
        </w:rPr>
      </w:pPr>
      <w:r>
        <w:rPr>
          <w:i w:val="false"/>
          <w:iCs w:val="false"/>
          <w:sz w:val="26"/>
          <w:szCs w:val="26"/>
          <w:u w:val="none"/>
        </w:rPr>
        <w:tab/>
        <w:t>Данный  довод Заявителя, изложенный с указанием  на соответствующие  решения территориальных органов ФАС, в рассматриваемом  случае  не влечёт безусловной  правоприменительной  практики  для  аналогичного  применения  в отношении рассматриваемого дела, поскольку обстоятельства рассматриваемых дел УФАС  являются   различными.</w:t>
      </w:r>
    </w:p>
    <w:p>
      <w:pPr>
        <w:pStyle w:val="Normal"/>
        <w:jc w:val="both"/>
        <w:rPr>
          <w:i w:val="false"/>
          <w:i w:val="false"/>
          <w:iCs w:val="false"/>
          <w:sz w:val="26"/>
          <w:szCs w:val="26"/>
          <w:u w:val="none"/>
        </w:rPr>
      </w:pPr>
      <w:r>
        <w:rPr>
          <w:i w:val="false"/>
          <w:iCs w:val="false"/>
          <w:sz w:val="26"/>
          <w:szCs w:val="26"/>
          <w:u w:val="none"/>
        </w:rPr>
        <w:tab/>
        <w:t>В силу изложенных  обстоятельств  Комиссия  в действиях  Заказчика не усматривает нарушение  части 6 статьи 31 Закона  о контрактной системе.</w:t>
      </w:r>
    </w:p>
    <w:p>
      <w:pPr>
        <w:pStyle w:val="Normal"/>
        <w:jc w:val="both"/>
        <w:rPr>
          <w:sz w:val="26"/>
          <w:szCs w:val="26"/>
        </w:rPr>
      </w:pPr>
      <w:r>
        <w:rPr>
          <w:sz w:val="26"/>
          <w:szCs w:val="26"/>
        </w:rPr>
      </w:r>
    </w:p>
    <w:p>
      <w:pPr>
        <w:pStyle w:val="Normal"/>
        <w:jc w:val="both"/>
        <w:rPr/>
      </w:pPr>
      <w:r>
        <w:rPr>
          <w:sz w:val="26"/>
          <w:szCs w:val="26"/>
        </w:rPr>
        <w:t xml:space="preserve">Рассмотрев доводы  Заявителя  </w:t>
      </w:r>
      <w:r>
        <w:rPr>
          <w:b/>
          <w:bCs/>
          <w:sz w:val="26"/>
          <w:szCs w:val="26"/>
        </w:rPr>
        <w:t xml:space="preserve">по дополнениям к жалобе </w:t>
      </w:r>
      <w:r>
        <w:rPr>
          <w:sz w:val="26"/>
          <w:szCs w:val="26"/>
        </w:rPr>
        <w:t xml:space="preserve"> (вх. № 1686 от 05.07.2019) по закупке  № 0384200001619000070 Комиссия  при  проверке  исходит  из следующих оснований:</w:t>
      </w:r>
    </w:p>
    <w:p>
      <w:pPr>
        <w:pStyle w:val="Normal"/>
        <w:jc w:val="both"/>
        <w:rPr>
          <w:sz w:val="26"/>
          <w:szCs w:val="26"/>
        </w:rPr>
      </w:pPr>
      <w:r>
        <w:rPr>
          <w:sz w:val="26"/>
          <w:szCs w:val="26"/>
        </w:rPr>
      </w:r>
    </w:p>
    <w:p>
      <w:pPr>
        <w:pStyle w:val="Normal"/>
        <w:jc w:val="both"/>
        <w:rPr/>
      </w:pPr>
      <w:r>
        <w:rPr>
          <w:b/>
          <w:bCs/>
          <w:sz w:val="26"/>
          <w:szCs w:val="26"/>
        </w:rPr>
        <w:t xml:space="preserve">6. </w:t>
      </w:r>
      <w:r>
        <w:rPr>
          <w:b w:val="false"/>
          <w:bCs w:val="false"/>
          <w:sz w:val="26"/>
          <w:szCs w:val="26"/>
        </w:rPr>
        <w:t>Позиция  Заявителя жалобы, указанная в дополнении к жалобе (вх. № 1672) о том, что  «Закон о контрактной системе  не обязывает  участника закупки  иметь в наличии товар в момент подачи заявки», поскольку «Заказчиком в нарушение Письма ФАС  России от 01.07.2016 № ИА/44536/16 «Об установлении заказчиком требований к составу, инструкции  по заполнению заявки на участие  в закупке», установлены  избыточные требования  к товарам, является  несостоятельной ввиду того, что Заказчиком  требования  к товарам, используемым при выполнении работ, установлены  в полном соответствии с  требованиями  Закона  о контрактной системе  и с соблюдением  требований  части  1 статьи 33 данного Закона.</w:t>
      </w:r>
    </w:p>
    <w:p>
      <w:pPr>
        <w:pStyle w:val="Normal"/>
        <w:jc w:val="both"/>
        <w:rPr/>
      </w:pPr>
      <w:r>
        <w:rPr>
          <w:b w:val="false"/>
          <w:bCs w:val="false"/>
          <w:sz w:val="26"/>
          <w:szCs w:val="26"/>
        </w:rPr>
        <w:tab/>
        <w:t>Однако  доводы Заявителя о том, что  в файле Аукционной  документации «Рекомендуемая  форма. Первая часть заявки на участие в аукционе  в электронной форме  на право заключения  государственного контракта»  по пунктам (П.61, П.62, П.63, П.64, П.65, П.66, П.78, П.79, П.80, П.81, П.83, П.82,  П.83, П.84,  П.85, П.86, П.87, П.88, , П.89, П.90, П.90, , П.91, П.92, П.93, П.94, П.95,П.96, П.96, П.98, П.99, п.100, П.154, П.156, , П.157, , П,158,</w:t>
      </w:r>
      <w:r>
        <w:rPr>
          <w:b/>
          <w:bCs/>
          <w:sz w:val="26"/>
          <w:szCs w:val="26"/>
        </w:rPr>
        <w:t xml:space="preserve"> </w:t>
      </w:r>
      <w:r>
        <w:rPr>
          <w:b w:val="false"/>
          <w:bCs w:val="false"/>
          <w:sz w:val="26"/>
          <w:szCs w:val="26"/>
        </w:rPr>
        <w:t>П.159, П.258, П.291, П.292, П.293, П.294, П.295, П.296, П.305, П.306, П.307, П.308, П.309, П.310, П.311) Заказчик</w:t>
      </w:r>
      <w:r>
        <w:rPr>
          <w:b/>
          <w:bCs/>
          <w:sz w:val="26"/>
          <w:szCs w:val="26"/>
        </w:rPr>
        <w:t xml:space="preserve">  </w:t>
      </w:r>
      <w:r>
        <w:rPr>
          <w:b w:val="false"/>
          <w:bCs w:val="false"/>
          <w:sz w:val="26"/>
          <w:szCs w:val="26"/>
        </w:rPr>
        <w:t>ограничил число участников  закупки  только в пользу тех  участников,  у которых есть товар  в наличии  и которые  провели испытание товара, являются  не  соответствующими  фактическим обстоятельствам дела.</w:t>
      </w:r>
    </w:p>
    <w:p>
      <w:pPr>
        <w:pStyle w:val="Normal"/>
        <w:jc w:val="both"/>
        <w:rPr>
          <w:b w:val="false"/>
          <w:b w:val="false"/>
          <w:bCs w:val="false"/>
          <w:sz w:val="26"/>
          <w:szCs w:val="26"/>
        </w:rPr>
      </w:pPr>
      <w:r>
        <w:rPr>
          <w:b w:val="false"/>
          <w:bCs w:val="false"/>
          <w:sz w:val="26"/>
          <w:szCs w:val="26"/>
        </w:rPr>
        <w:tab/>
        <w:t xml:space="preserve">Комиссия проанализировав материалы аукционной документации  подходит к выводу о том, что Заявителем по изложенным доводам  жалобы  не представлены  надлежащие доказательства в части обоснования признаков ограничения  конкуренции. Комиссией установлено, в отношении вышеуказанных пунктов, указанных  в жалобе,  все  необходимые содержания в заявке Заказчиком изложены  исходя  из сведений в ГОСТе, а также в размещенных на сайтах  производителей  сертификатах товаров  и иных нормативных документов. </w:t>
      </w:r>
    </w:p>
    <w:p>
      <w:pPr>
        <w:pStyle w:val="Normal"/>
        <w:jc w:val="both"/>
        <w:rPr/>
      </w:pPr>
      <w:r>
        <w:rPr>
          <w:b/>
          <w:bCs/>
          <w:sz w:val="26"/>
          <w:szCs w:val="26"/>
        </w:rPr>
        <w:tab/>
      </w:r>
      <w:r>
        <w:rPr>
          <w:b w:val="false"/>
          <w:bCs w:val="false"/>
          <w:sz w:val="26"/>
          <w:szCs w:val="26"/>
        </w:rPr>
        <w:t>Таким образом, данные фактические обстоятельства, то есть как  соответствующие или подтверждающие сведения о товарах, не относятся к показателям, значения которых становятся известными при испытании определенной партии  товара  после  его производства,  а  изначально  содержатся  в технической документации.</w:t>
      </w:r>
    </w:p>
    <w:p>
      <w:pPr>
        <w:pStyle w:val="Normal"/>
        <w:jc w:val="both"/>
        <w:rPr>
          <w:b w:val="false"/>
          <w:b w:val="false"/>
          <w:bCs w:val="false"/>
          <w:sz w:val="26"/>
          <w:szCs w:val="26"/>
        </w:rPr>
      </w:pPr>
      <w:r>
        <w:rPr>
          <w:b w:val="false"/>
          <w:bCs w:val="false"/>
          <w:sz w:val="26"/>
          <w:szCs w:val="26"/>
        </w:rPr>
        <w:tab/>
        <w:t>Аукционная комиссия обязана проверить как соответствие представленной заявки требованиям аукционной документации, так и соответствие участника аукциона требованиям, предъявляемым законодательством к исполнителям работ (услуг), являющихся предметом контракта.</w:t>
        <w:tab/>
      </w:r>
    </w:p>
    <w:p>
      <w:pPr>
        <w:pStyle w:val="Normal"/>
        <w:jc w:val="both"/>
        <w:rPr>
          <w:b w:val="false"/>
          <w:b w:val="false"/>
          <w:bCs w:val="false"/>
          <w:sz w:val="26"/>
          <w:szCs w:val="26"/>
        </w:rPr>
      </w:pPr>
      <w:r>
        <w:rPr>
          <w:b w:val="false"/>
          <w:bCs w:val="false"/>
          <w:sz w:val="26"/>
          <w:szCs w:val="26"/>
        </w:rPr>
        <w:tab/>
        <w:t>Комиссия считает, что Заказчик, обосновавший требования или условия Технического задания товаров, никакие другие сведения от себя, кроме  предусмотренных  ГОСТами и другими нормативными  правовыми актами, в данные условия  не  вносил.  При этом  необходимо учесть, что Заказчик  при обосновании данных требований  или условий, заранее не мог предположить о том, кто будет являться участником закупки. Более того,  участник  закупки (Заявителя жалобы)  по данному обстоятельству не  истребовал  от Заказчика разъяснения положений об  аукционной  документации.</w:t>
      </w:r>
    </w:p>
    <w:p>
      <w:pPr>
        <w:pStyle w:val="Normal"/>
        <w:jc w:val="both"/>
        <w:rPr>
          <w:b w:val="false"/>
          <w:b w:val="false"/>
          <w:bCs w:val="false"/>
          <w:sz w:val="26"/>
          <w:szCs w:val="26"/>
        </w:rPr>
      </w:pPr>
      <w:r>
        <w:rPr>
          <w:b w:val="false"/>
          <w:bCs w:val="false"/>
          <w:sz w:val="26"/>
          <w:szCs w:val="26"/>
        </w:rPr>
        <w:tab/>
        <w:t xml:space="preserve">В этой  связи Комиссия  подходит к выводу о том, что довод жалобы  Заявителя об ограничении числа участников в пользу  других участников закупки, у которых  на момент  объявления  закупки  якобы в наличии  имелся  товар и которые в предварительном порядке  якобы провели  испытание  товара, не подтверждается. В рассматриваемом случае требование, предъявляемое к Заказчику, не противоречило ни Закону о  контрактной системе, ни Закону о защите конкуренции. </w:t>
      </w:r>
    </w:p>
    <w:p>
      <w:pPr>
        <w:pStyle w:val="Normal"/>
        <w:jc w:val="both"/>
        <w:rPr>
          <w:b w:val="false"/>
          <w:b w:val="false"/>
          <w:bCs w:val="false"/>
          <w:sz w:val="26"/>
          <w:szCs w:val="26"/>
        </w:rPr>
      </w:pPr>
      <w:r>
        <w:rPr>
          <w:b w:val="false"/>
          <w:bCs w:val="false"/>
          <w:sz w:val="26"/>
          <w:szCs w:val="26"/>
        </w:rPr>
        <w:tab/>
        <w:t>В данной части рассмотрения жалобы нарушение Заказчиком законодательства о контрактной  системе Комиссией  не выявлено.</w:t>
      </w:r>
    </w:p>
    <w:p>
      <w:pPr>
        <w:pStyle w:val="Normal"/>
        <w:jc w:val="both"/>
        <w:rPr>
          <w:b w:val="false"/>
          <w:b w:val="false"/>
          <w:bCs w:val="false"/>
          <w:sz w:val="26"/>
          <w:szCs w:val="26"/>
          <w:u w:val="single"/>
          <w:lang w:val="ru-RU"/>
        </w:rPr>
      </w:pPr>
      <w:r>
        <w:rPr>
          <w:b w:val="false"/>
          <w:bCs w:val="false"/>
          <w:sz w:val="26"/>
          <w:szCs w:val="26"/>
          <w:u w:val="single"/>
          <w:lang w:val="ru-RU"/>
        </w:rPr>
      </w:r>
    </w:p>
    <w:p>
      <w:pPr>
        <w:pStyle w:val="Normal"/>
        <w:jc w:val="both"/>
        <w:rPr/>
      </w:pPr>
      <w:r>
        <w:rPr>
          <w:b/>
          <w:bCs/>
          <w:sz w:val="26"/>
          <w:szCs w:val="26"/>
        </w:rPr>
        <w:t>7.</w:t>
      </w:r>
      <w:r>
        <w:rPr>
          <w:b w:val="false"/>
          <w:bCs w:val="false"/>
          <w:sz w:val="26"/>
          <w:szCs w:val="26"/>
        </w:rPr>
        <w:t xml:space="preserve"> По доводу  некорректного установления  единицы измерения  по  пунктам  (П.101 Сталь круглая тип 1 Масса 1м длины проката  не более 0, 617 мм; П.102 Сталь  круглая тип 2 Масса 1м длины проката  не более 1, 578 мм; П.103 Сталь круглая тип 3 Массы 1м длины  проката  не более 2, 466 мм) Комиссия соглашается с позицией Заявителя  жалобы в части фактической невозможности участника  закупки поставить наименование товара  «сталь  круглая  с массой, измеряющейся в миллиметрах».</w:t>
      </w:r>
    </w:p>
    <w:p>
      <w:pPr>
        <w:pStyle w:val="Normal"/>
        <w:jc w:val="both"/>
        <w:rPr>
          <w:b w:val="false"/>
          <w:b w:val="false"/>
          <w:bCs w:val="false"/>
          <w:sz w:val="26"/>
          <w:szCs w:val="26"/>
        </w:rPr>
      </w:pPr>
      <w:r>
        <w:rPr>
          <w:b w:val="false"/>
          <w:bCs w:val="false"/>
          <w:sz w:val="26"/>
          <w:szCs w:val="26"/>
        </w:rPr>
        <w:tab/>
        <w:t xml:space="preserve">В рассматриваемом случае по данному обстоятельству Заказчик  подтвердил  о допущенных им в технических ошибках в части определения измерения  единицы измерения  к товару (стали) и признал нарушение  им части 2 статьи  33 Закона о контрактной системе. </w:t>
      </w:r>
    </w:p>
    <w:p>
      <w:pPr>
        <w:pStyle w:val="Normal"/>
        <w:jc w:val="both"/>
        <w:rPr>
          <w:b w:val="false"/>
          <w:b w:val="false"/>
          <w:bCs w:val="false"/>
          <w:sz w:val="26"/>
          <w:szCs w:val="26"/>
        </w:rPr>
      </w:pPr>
      <w:r>
        <w:rPr>
          <w:b w:val="false"/>
          <w:bCs w:val="false"/>
          <w:sz w:val="26"/>
          <w:szCs w:val="26"/>
        </w:rPr>
        <w:tab/>
        <w:t>Комиссией установлено, что участников аукциона, включая ООО «АНТЕЯЛ», соответствующие запросы на разъяснения документации по   вышеуказанным  позициям товара,  также не поступали.</w:t>
      </w:r>
    </w:p>
    <w:p>
      <w:pPr>
        <w:pStyle w:val="Normal"/>
        <w:jc w:val="both"/>
        <w:rPr>
          <w:b w:val="false"/>
          <w:b w:val="false"/>
          <w:bCs w:val="false"/>
          <w:sz w:val="26"/>
          <w:szCs w:val="26"/>
        </w:rPr>
      </w:pPr>
      <w:r>
        <w:rPr>
          <w:b w:val="false"/>
          <w:bCs w:val="false"/>
          <w:sz w:val="26"/>
          <w:szCs w:val="26"/>
        </w:rPr>
        <w:tab/>
        <w:t>Данное  обстоятельство подтверждает о том, что  в результате  отсутствия  умышленных действий со  стороны  Заказчика  по факту  допущенной технической  ошибки  по позициям товара (П.101- П.103), по  мнению Комиссию,  не  может  повлечь за собой правовое последствие для участников закупки в виде ограничения  конкуренции.</w:t>
      </w:r>
    </w:p>
    <w:p>
      <w:pPr>
        <w:pStyle w:val="Normal"/>
        <w:jc w:val="both"/>
        <w:rPr>
          <w:b w:val="false"/>
          <w:b w:val="false"/>
          <w:bCs w:val="false"/>
          <w:sz w:val="26"/>
          <w:szCs w:val="26"/>
        </w:rPr>
      </w:pPr>
      <w:r>
        <w:rPr>
          <w:b w:val="false"/>
          <w:bCs w:val="false"/>
          <w:sz w:val="26"/>
          <w:szCs w:val="26"/>
        </w:rPr>
        <w:tab/>
        <w:t>В соответствии с частью 2 статьи 33 Закона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w:t>
      </w:r>
    </w:p>
    <w:p>
      <w:pPr>
        <w:pStyle w:val="Normal"/>
        <w:jc w:val="both"/>
        <w:rPr>
          <w:b w:val="false"/>
          <w:b w:val="false"/>
          <w:bCs w:val="false"/>
          <w:sz w:val="26"/>
          <w:szCs w:val="26"/>
        </w:rPr>
      </w:pPr>
      <w:r>
        <w:rPr>
          <w:b w:val="false"/>
          <w:bCs w:val="false"/>
          <w:sz w:val="26"/>
          <w:szCs w:val="26"/>
        </w:rPr>
        <w:tab/>
        <w:t xml:space="preserve">Вместе с тем Комиссия, т.е.  в силу допущенного Заказчиком  технической ошибки, в  действиях  аукционной  комиссии  признает  нарушение  правил описания  объекта  закупки,  предусмотренной  частью 2  статьи 33 Закона  о контрактной системе. </w:t>
      </w:r>
    </w:p>
    <w:p>
      <w:pPr>
        <w:pStyle w:val="Normal"/>
        <w:jc w:val="both"/>
        <w:rPr>
          <w:b w:val="false"/>
          <w:b w:val="false"/>
          <w:bCs w:val="false"/>
          <w:sz w:val="26"/>
          <w:szCs w:val="26"/>
        </w:rPr>
      </w:pPr>
      <w:r>
        <w:rPr>
          <w:b w:val="false"/>
          <w:bCs w:val="false"/>
          <w:sz w:val="26"/>
          <w:szCs w:val="26"/>
        </w:rPr>
        <w:tab/>
        <w:t>В этой связи  Комиссия в действиях аукционной комиссии усматривает признаки административного правонарушения, предусмотренное пунктом 4.2  статьи 7.30 КоАП РФ,  и считает о необходимости передачи  материалов  дела  уполномоченному должностному  лицу Ненецкого УФАС России.</w:t>
      </w:r>
    </w:p>
    <w:p>
      <w:pPr>
        <w:pStyle w:val="Normal"/>
        <w:jc w:val="both"/>
        <w:rPr>
          <w:b w:val="false"/>
          <w:b w:val="false"/>
          <w:bCs w:val="false"/>
          <w:sz w:val="26"/>
          <w:szCs w:val="26"/>
        </w:rPr>
      </w:pPr>
      <w:r>
        <w:rPr>
          <w:b w:val="false"/>
          <w:bCs w:val="false"/>
          <w:sz w:val="26"/>
          <w:szCs w:val="26"/>
        </w:rPr>
        <w:tab/>
      </w:r>
    </w:p>
    <w:p>
      <w:pPr>
        <w:pStyle w:val="Normal"/>
        <w:jc w:val="both"/>
        <w:rPr/>
      </w:pPr>
      <w:r>
        <w:rPr>
          <w:b w:val="false"/>
          <w:bCs w:val="false"/>
          <w:sz w:val="26"/>
          <w:szCs w:val="26"/>
        </w:rPr>
        <w:tab/>
      </w:r>
      <w:r>
        <w:rPr>
          <w:b/>
          <w:bCs/>
          <w:sz w:val="26"/>
          <w:szCs w:val="26"/>
        </w:rPr>
        <w:t>8.</w:t>
      </w:r>
      <w:r>
        <w:rPr>
          <w:b w:val="false"/>
          <w:bCs w:val="false"/>
          <w:sz w:val="26"/>
          <w:szCs w:val="26"/>
        </w:rPr>
        <w:t>В части  обоснования  Заявителем  позиции  об усложнении закупочной документации, ограничении  конкуренции   и количества участников закупки  по избыточным требованиям  к товарам (Болты), т.е. по  пунктам (П.154 Болты с шестигранной головкой  тип 1,  аналогично П.156, П, 157, П.158, П.159)  как несоответствующие ГОСТу 7798-70 в результате указанных Заказчиком  номинальных  диаметров резьбы, Комиссия подходит  к  следующему выводу.</w:t>
      </w:r>
    </w:p>
    <w:p>
      <w:pPr>
        <w:pStyle w:val="Normal"/>
        <w:jc w:val="both"/>
        <w:rPr>
          <w:b w:val="false"/>
          <w:b w:val="false"/>
          <w:bCs w:val="false"/>
          <w:sz w:val="26"/>
          <w:szCs w:val="26"/>
        </w:rPr>
      </w:pPr>
      <w:r>
        <w:rPr>
          <w:b w:val="false"/>
          <w:bCs w:val="false"/>
          <w:sz w:val="26"/>
          <w:szCs w:val="26"/>
        </w:rPr>
        <w:tab/>
        <w:t>Согласно Таблице 1 ГОСТ 7798-70 «Болты с шестигранной головкой класса точности В. Конструкция и размеры» предусмотрено указание номинального диаметра резьбы с указанием  его конкретных размеров. Требования, указанные  Заказчиком в Техническом  задании по  вышеназванным позициям товара (Болты),   соответствуют ГОСТУ.</w:t>
      </w:r>
    </w:p>
    <w:p>
      <w:pPr>
        <w:pStyle w:val="Normal"/>
        <w:jc w:val="both"/>
        <w:rPr>
          <w:b w:val="false"/>
          <w:b w:val="false"/>
          <w:bCs w:val="false"/>
          <w:sz w:val="26"/>
          <w:szCs w:val="26"/>
        </w:rPr>
      </w:pPr>
      <w:r>
        <w:rPr>
          <w:b w:val="false"/>
          <w:bCs w:val="false"/>
          <w:sz w:val="26"/>
          <w:szCs w:val="26"/>
        </w:rPr>
        <w:tab/>
        <w:t>Ввиду того, что по ГОСТУ номинальный диаметр резьбы  соответствует, а указанные  уточнения  Заказчика в отношении  диаметра стержня, высоты головки болтов, являющиеся как минимальные уточняющие требования, существенно не  влияют  на  тип болтов  шестигранной головкой.</w:t>
      </w:r>
    </w:p>
    <w:p>
      <w:pPr>
        <w:pStyle w:val="Normal"/>
        <w:jc w:val="both"/>
        <w:rPr>
          <w:b w:val="false"/>
          <w:b w:val="false"/>
          <w:bCs w:val="false"/>
          <w:sz w:val="26"/>
          <w:szCs w:val="26"/>
        </w:rPr>
      </w:pPr>
      <w:r>
        <w:rPr>
          <w:b w:val="false"/>
          <w:bCs w:val="false"/>
          <w:sz w:val="26"/>
          <w:szCs w:val="26"/>
        </w:rPr>
        <w:tab/>
        <w:t>Уточнения  диаметра  стержня, высоты головки  типов болтов  Заказчиком  произведены в целях их усиления технической связки в соответствующих местах соединений,  связанных с возведением   социально значимого объекта — школы- интерната  в п. Каратайка.</w:t>
      </w:r>
    </w:p>
    <w:p>
      <w:pPr>
        <w:pStyle w:val="Normal"/>
        <w:jc w:val="both"/>
        <w:rPr>
          <w:b w:val="false"/>
          <w:b w:val="false"/>
          <w:bCs w:val="false"/>
          <w:sz w:val="26"/>
          <w:szCs w:val="26"/>
        </w:rPr>
      </w:pPr>
      <w:r>
        <w:rPr>
          <w:b w:val="false"/>
          <w:bCs w:val="false"/>
          <w:sz w:val="26"/>
          <w:szCs w:val="26"/>
        </w:rPr>
        <w:tab/>
        <w:t>Данные требования  Заказчика не могут повлечь   ограничение  конкуренции  в отношении участников закупки.</w:t>
      </w:r>
    </w:p>
    <w:p>
      <w:pPr>
        <w:pStyle w:val="Normal"/>
        <w:jc w:val="both"/>
        <w:rPr>
          <w:b/>
          <w:b/>
          <w:bCs/>
          <w:sz w:val="26"/>
          <w:szCs w:val="26"/>
        </w:rPr>
      </w:pPr>
      <w:r>
        <w:rPr>
          <w:b/>
          <w:bCs/>
          <w:sz w:val="26"/>
          <w:szCs w:val="26"/>
        </w:rPr>
      </w:r>
    </w:p>
    <w:p>
      <w:pPr>
        <w:pStyle w:val="Normal"/>
        <w:jc w:val="both"/>
        <w:rPr/>
      </w:pPr>
      <w:r>
        <w:rPr>
          <w:b/>
          <w:bCs/>
          <w:sz w:val="26"/>
          <w:szCs w:val="26"/>
        </w:rPr>
        <w:t>9.</w:t>
      </w:r>
      <w:r>
        <w:rPr>
          <w:b w:val="false"/>
          <w:bCs w:val="false"/>
          <w:sz w:val="26"/>
          <w:szCs w:val="26"/>
        </w:rPr>
        <w:t xml:space="preserve"> В части  оспаривания  Заявителем  иных требований  к товару,  указанных Заказчиком в пункте 234 файла «ДАЭФ Интернат Каратайка» - Часть III. Техническая часть  Приложение № 1 к Техническому заданию «Требования к основным  материалам, используемым  при выполнении  работ», что в отношении породы древесины  при диаметре  от 14 до 26 см  указаны:  ель, сосна, которые по  мнению Заявителя,  не подтверждают «эталонность файла», а со стороны Заказчика направлено на намеренное создание ситуаций, в которых участник закупки допустит ошибку в части поставки конкретной породы древесины или ели, или сосны, влекущие за собой ограничению конкуренции или  количества участников.</w:t>
      </w:r>
    </w:p>
    <w:p>
      <w:pPr>
        <w:pStyle w:val="Normal"/>
        <w:jc w:val="both"/>
        <w:rPr>
          <w:b w:val="false"/>
          <w:b w:val="false"/>
          <w:bCs w:val="false"/>
          <w:sz w:val="26"/>
          <w:szCs w:val="26"/>
        </w:rPr>
      </w:pPr>
      <w:r>
        <w:rPr>
          <w:b w:val="false"/>
          <w:bCs w:val="false"/>
          <w:sz w:val="26"/>
          <w:szCs w:val="26"/>
        </w:rPr>
        <w:tab/>
        <w:t xml:space="preserve">Комиссией  установлено,  что  по решению Заказчика  приказом КУ НАО «ЦСЗ» от 11.-6.2019 № 169-од в Приложении №1 к техническому  заданию (в том числе пункт 234), извещение и документацию об электронном аукционе  № 0384200001619000070 на «Выполнение работ по строительству объекта  «Пришкольный интернат на 80 мест в п. Каратайка» были внесены соответствующие изменения  и 13.06.2019 информация  об указанных  изменениях  размещена  в  ЕИС.  </w:t>
      </w:r>
    </w:p>
    <w:p>
      <w:pPr>
        <w:pStyle w:val="Normal"/>
        <w:jc w:val="both"/>
        <w:rPr>
          <w:b w:val="false"/>
          <w:b w:val="false"/>
          <w:bCs w:val="false"/>
          <w:sz w:val="26"/>
          <w:szCs w:val="26"/>
        </w:rPr>
      </w:pPr>
      <w:r>
        <w:rPr>
          <w:b w:val="false"/>
          <w:bCs w:val="false"/>
          <w:sz w:val="26"/>
          <w:szCs w:val="26"/>
        </w:rPr>
        <w:tab/>
        <w:t>Таким образом, Заявителем должным образом не были изучены внесенные изменения, дополнения к  аукционной документации. Факт  размещения  в ЕИС  данных изменений Комиссией  проверен, ограничение  конкуренции по данному  обстоятельству  Заказчиком  также  не  допущено.</w:t>
      </w:r>
    </w:p>
    <w:p>
      <w:pPr>
        <w:pStyle w:val="Normal"/>
        <w:jc w:val="both"/>
        <w:rPr/>
      </w:pPr>
      <w:r>
        <w:rPr>
          <w:b w:val="false"/>
          <w:bCs w:val="false"/>
          <w:sz w:val="26"/>
          <w:szCs w:val="26"/>
        </w:rPr>
        <w:tab/>
        <w:t>При оценке проверяемой внеплановой проверкой  обстоятельств  и  в связи с  указанием в доводах жалобы Заявителем  об ограничении  конкуренции,   Комиссия руководствуется согласно правовой позиции Президиума ВАС РФ, изложенной в Постановлении от 28 декабря 2010 г. N11017/10:  «</w:t>
      </w:r>
      <w:r>
        <w:rPr>
          <w:b w:val="false"/>
          <w:bCs w:val="false"/>
          <w:i/>
          <w:iCs/>
          <w:sz w:val="26"/>
          <w:szCs w:val="26"/>
        </w:rPr>
        <w:t>основной задачей законодательства, устанавливающего порядок</w:t>
      </w:r>
      <w:r>
        <w:rPr>
          <w:b/>
          <w:bCs/>
          <w:i/>
          <w:iCs/>
          <w:sz w:val="26"/>
          <w:szCs w:val="26"/>
        </w:rPr>
        <w:t xml:space="preserve"> </w:t>
      </w:r>
      <w:r>
        <w:rPr>
          <w:b w:val="false"/>
          <w:bCs w:val="false"/>
          <w:i/>
          <w:iCs/>
          <w:sz w:val="26"/>
          <w:szCs w:val="26"/>
        </w:rPr>
        <w:t xml:space="preserve">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 В торгах могут участвовать лишь те лица, которые соответствуют названным целям. Поэтому включение в документацию о закупке условий, которые в итоге приводят к исключению из круга участников размещения заказа лиц, не отвечающих таким целям, не может рассматриваться как ограничение доступа к участию в закупке, необоснованное ограничение конкуренции по отношению к участникам закупки, нарушение равноправия, справедливости, создание дискриминации». </w:t>
      </w:r>
    </w:p>
    <w:p>
      <w:pPr>
        <w:pStyle w:val="Normal"/>
        <w:jc w:val="both"/>
        <w:rPr/>
      </w:pPr>
      <w:r>
        <w:rPr>
          <w:b w:val="false"/>
          <w:bCs w:val="false"/>
          <w:sz w:val="26"/>
          <w:szCs w:val="26"/>
        </w:rPr>
        <w:tab/>
        <w:t xml:space="preserve">В рамках данного Постановления Президиума ВАС РФ также сформулирована позиция о том, что </w:t>
      </w:r>
      <w:r>
        <w:rPr>
          <w:b w:val="false"/>
          <w:bCs w:val="false"/>
          <w:i/>
          <w:iCs/>
          <w:sz w:val="26"/>
          <w:szCs w:val="26"/>
        </w:rPr>
        <w:t xml:space="preserve">ограничением конкуренции может быть признано не любое ограничение круга потенциальных участников путем установления определенных требований к участникам, а лишь незаконное ограничение круга потенциальных участников закупки путем установления требований, не соответствующих положениям закона. </w:t>
      </w:r>
    </w:p>
    <w:p>
      <w:pPr>
        <w:pStyle w:val="Normal"/>
        <w:jc w:val="both"/>
        <w:rPr>
          <w:b w:val="false"/>
          <w:b w:val="false"/>
          <w:bCs w:val="false"/>
          <w:sz w:val="26"/>
          <w:szCs w:val="26"/>
        </w:rPr>
      </w:pPr>
      <w:r>
        <w:rPr>
          <w:b w:val="false"/>
          <w:bCs w:val="false"/>
          <w:sz w:val="26"/>
          <w:szCs w:val="26"/>
        </w:rPr>
        <w:tab/>
        <w:t>Кроме того, при анализе и сопоставлении письменных доказательств Комиссией установлено, что из представленных Заказчиком  в материалы  дела   сведений подтверждается, что  ООО «АНТЕЯЛ»  в области строительства  не является членом  саморегулируемой  организации  (далее- СРО).</w:t>
      </w:r>
    </w:p>
    <w:p>
      <w:pPr>
        <w:pStyle w:val="Normal"/>
        <w:jc w:val="both"/>
        <w:rPr/>
      </w:pPr>
      <w:r>
        <w:rPr>
          <w:b w:val="false"/>
          <w:bCs w:val="false"/>
          <w:sz w:val="26"/>
          <w:szCs w:val="26"/>
        </w:rPr>
        <w:tab/>
        <w:t>В этой связи данное общество не соответствует требованиям, установленным аукционной документации, оно не  могло быть участником  закупки  и  быть признанным  победителем электронного аукциона, а по его результатам заключать контракт с Заказчиком. Таким образом, действия Заказчика при проведении  данного аукциона не могли нарушить права ООО «АНТЕЯЛ».</w:t>
      </w:r>
    </w:p>
    <w:p>
      <w:pPr>
        <w:pStyle w:val="Normal"/>
        <w:jc w:val="both"/>
        <w:rPr>
          <w:b w:val="false"/>
          <w:b w:val="false"/>
          <w:bCs w:val="false"/>
          <w:sz w:val="26"/>
          <w:szCs w:val="26"/>
        </w:rPr>
      </w:pPr>
      <w:r>
        <w:rPr>
          <w:b w:val="false"/>
          <w:bCs w:val="false"/>
          <w:sz w:val="26"/>
          <w:szCs w:val="26"/>
        </w:rPr>
      </w:r>
    </w:p>
    <w:p>
      <w:pPr>
        <w:pStyle w:val="Normal"/>
        <w:jc w:val="both"/>
        <w:rPr/>
      </w:pPr>
      <w:r>
        <w:rPr>
          <w:b/>
          <w:bCs/>
          <w:sz w:val="26"/>
          <w:szCs w:val="26"/>
        </w:rPr>
        <w:tab/>
      </w:r>
      <w:r>
        <w:rPr>
          <w:b w:val="false"/>
          <w:bCs w:val="false"/>
          <w:sz w:val="26"/>
          <w:szCs w:val="26"/>
        </w:rPr>
        <w:t xml:space="preserve">На  основании  вышеизложенного,  руководствуясь  статьями  99 и 106 Закона  о контрактной системе Комиссия  Ненецкого УФАС России, </w:t>
      </w:r>
    </w:p>
    <w:p>
      <w:pPr>
        <w:pStyle w:val="Normal"/>
        <w:jc w:val="both"/>
        <w:rPr/>
      </w:pPr>
      <w:r>
        <w:rPr/>
      </w:r>
    </w:p>
    <w:p>
      <w:pPr>
        <w:pStyle w:val="Normal"/>
        <w:jc w:val="both"/>
        <w:rPr/>
      </w:pPr>
      <w:r>
        <w:rPr>
          <w:b w:val="false"/>
          <w:bCs w:val="false"/>
          <w:sz w:val="26"/>
          <w:szCs w:val="26"/>
        </w:rPr>
        <w:t xml:space="preserve">                                           </w:t>
      </w:r>
      <w:r>
        <w:rPr>
          <w:b/>
          <w:bCs/>
          <w:sz w:val="26"/>
          <w:szCs w:val="26"/>
        </w:rPr>
        <w:t>решила :</w:t>
      </w:r>
    </w:p>
    <w:p>
      <w:pPr>
        <w:pStyle w:val="Normal"/>
        <w:jc w:val="both"/>
        <w:rPr/>
      </w:pPr>
      <w:r>
        <w:rPr>
          <w:b/>
          <w:bCs/>
          <w:sz w:val="26"/>
          <w:szCs w:val="26"/>
        </w:rPr>
        <w:t>1.</w:t>
      </w:r>
      <w:r>
        <w:rPr>
          <w:b w:val="false"/>
          <w:bCs w:val="false"/>
          <w:sz w:val="26"/>
          <w:szCs w:val="26"/>
        </w:rPr>
        <w:t xml:space="preserve">  Признать жалобу ООО «АНТЕЯЛ»   частично обоснованной.</w:t>
      </w:r>
    </w:p>
    <w:p>
      <w:pPr>
        <w:pStyle w:val="Normal"/>
        <w:jc w:val="both"/>
        <w:rPr/>
      </w:pPr>
      <w:r>
        <w:rPr>
          <w:b/>
          <w:bCs/>
          <w:sz w:val="26"/>
          <w:szCs w:val="26"/>
        </w:rPr>
        <w:t>2.</w:t>
      </w:r>
      <w:r>
        <w:rPr>
          <w:b w:val="false"/>
          <w:bCs w:val="false"/>
          <w:sz w:val="26"/>
          <w:szCs w:val="26"/>
        </w:rPr>
        <w:t xml:space="preserve"> Признать  в действиях аукционной комиссии Заказчика нарушение  части 2 статьи 33,  части 6 статьи 31 Закона о  контрактной системе.</w:t>
      </w:r>
    </w:p>
    <w:p>
      <w:pPr>
        <w:pStyle w:val="Normal"/>
        <w:jc w:val="both"/>
        <w:rPr/>
      </w:pPr>
      <w:r>
        <w:rPr>
          <w:b/>
          <w:bCs/>
          <w:sz w:val="26"/>
          <w:szCs w:val="26"/>
        </w:rPr>
        <w:t>3.</w:t>
      </w:r>
      <w:r>
        <w:rPr>
          <w:b w:val="false"/>
          <w:bCs w:val="false"/>
          <w:sz w:val="26"/>
          <w:szCs w:val="26"/>
        </w:rPr>
        <w:t xml:space="preserve"> Передать материалы дела в отношении  аукционной комиссии  Заказчика на рассмотрение уполномоченному должностному лицу Ненецкого УФАС России для решения вопроса о возбуждении административного производства по части 4.2 статьи 7.30 КоАП  РФ. </w:t>
      </w:r>
    </w:p>
    <w:p>
      <w:pPr>
        <w:pStyle w:val="Normal"/>
        <w:jc w:val="both"/>
        <w:rPr>
          <w:b w:val="false"/>
          <w:b w:val="false"/>
          <w:bCs w:val="false"/>
          <w:sz w:val="26"/>
          <w:szCs w:val="26"/>
        </w:rPr>
      </w:pPr>
      <w:r>
        <w:rPr>
          <w:b w:val="false"/>
          <w:bCs w:val="false"/>
          <w:sz w:val="26"/>
          <w:szCs w:val="26"/>
        </w:rPr>
      </w:r>
    </w:p>
    <w:p>
      <w:pPr>
        <w:pStyle w:val="Normal"/>
        <w:jc w:val="both"/>
        <w:rPr/>
      </w:pPr>
      <w:r>
        <w:rPr>
          <w:b w:val="false"/>
          <w:bCs w:val="false"/>
          <w:sz w:val="26"/>
          <w:szCs w:val="26"/>
        </w:rPr>
        <w:t xml:space="preserve"> </w:t>
      </w:r>
      <w:r>
        <w:rPr>
          <w:sz w:val="26"/>
          <w:szCs w:val="26"/>
        </w:rPr>
        <w:tab/>
      </w:r>
      <w:r>
        <w:rPr>
          <w:i/>
          <w:iCs/>
          <w:sz w:val="22"/>
          <w:szCs w:val="22"/>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трёх месяцев  с даты его принятия.</w:t>
      </w:r>
    </w:p>
    <w:p>
      <w:pPr>
        <w:pStyle w:val="Normal"/>
        <w:jc w:val="both"/>
        <w:rPr>
          <w:sz w:val="26"/>
          <w:szCs w:val="26"/>
        </w:rPr>
      </w:pPr>
      <w:r>
        <w:rPr>
          <w:sz w:val="26"/>
          <w:szCs w:val="26"/>
        </w:rPr>
      </w:r>
    </w:p>
    <w:p>
      <w:pPr>
        <w:pStyle w:val="Normal"/>
        <w:jc w:val="both"/>
        <w:rPr>
          <w:sz w:val="26"/>
          <w:szCs w:val="26"/>
        </w:rPr>
      </w:pPr>
      <w:r>
        <w:rPr>
          <w:sz w:val="26"/>
          <w:szCs w:val="26"/>
        </w:rPr>
        <w:t xml:space="preserve">Председатель  Комиссии                                                            </w:t>
      </w:r>
    </w:p>
    <w:p>
      <w:pPr>
        <w:pStyle w:val="Normal"/>
        <w:jc w:val="both"/>
        <w:rPr>
          <w:sz w:val="26"/>
          <w:szCs w:val="26"/>
        </w:rPr>
      </w:pPr>
      <w:r>
        <w:rPr>
          <w:sz w:val="26"/>
          <w:szCs w:val="26"/>
        </w:rPr>
        <w:t xml:space="preserve">Члены  Комиссии                                                                       </w:t>
      </w:r>
    </w:p>
    <w:p>
      <w:pPr>
        <w:pStyle w:val="Normal"/>
        <w:jc w:val="both"/>
        <w:rPr/>
      </w:pPr>
      <w:r>
        <w:rPr>
          <w:sz w:val="26"/>
          <w:szCs w:val="26"/>
        </w:rPr>
        <w:t xml:space="preserve">                                                                                                   </w:t>
      </w:r>
    </w:p>
    <w:p>
      <w:pPr>
        <w:pStyle w:val="ConsPlusNonformat"/>
        <w:widowControl/>
        <w:ind w:left="0" w:right="0" w:firstLine="708"/>
        <w:jc w:val="both"/>
        <w:rPr/>
      </w:pPr>
      <w:r>
        <w:rPr/>
      </w:r>
    </w:p>
    <w:sectPr>
      <w:type w:val="nextPage"/>
      <w:pgSz w:w="11906" w:h="16838"/>
      <w:pgMar w:left="1701" w:right="850"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Courier New">
    <w:charset w:val="cc"/>
    <w:family w:val="moder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rPr/>
    </w:lvl>
    <w:lvl w:ilvl="1">
      <w:start w:val="1"/>
      <w:numFmt w:val="none"/>
      <w:suff w:val="nothing"/>
      <w:lvlText w:val=""/>
      <w:lvlJc w:val="left"/>
      <w:pPr>
        <w:ind w:left="576" w:hanging="576"/>
      </w:pPr>
      <w:rPr/>
    </w:lvl>
    <w:lvl w:ilvl="2">
      <w:start w:val="1"/>
      <w:numFmt w:val="none"/>
      <w:suff w:val="nothing"/>
      <w:lvlText w:val=""/>
      <w:lvlJc w:val="left"/>
      <w:pPr>
        <w:ind w:left="720" w:hanging="720"/>
      </w:pPr>
      <w:rPr/>
    </w:lvl>
    <w:lvl w:ilvl="3">
      <w:start w:val="1"/>
      <w:numFmt w:val="none"/>
      <w:suff w:val="nothing"/>
      <w:lvlText w:val=""/>
      <w:lvlJc w:val="left"/>
      <w:pPr>
        <w:ind w:left="864" w:hanging="864"/>
      </w:pPr>
      <w:rPr/>
    </w:lvl>
    <w:lvl w:ilvl="4">
      <w:start w:val="1"/>
      <w:numFmt w:val="none"/>
      <w:suff w:val="nothing"/>
      <w:lvlText w:val=""/>
      <w:lvlJc w:val="left"/>
      <w:pPr>
        <w:ind w:left="1008" w:hanging="1008"/>
      </w:pPr>
      <w:rPr/>
    </w:lvl>
    <w:lvl w:ilvl="5">
      <w:start w:val="1"/>
      <w:numFmt w:val="none"/>
      <w:suff w:val="nothing"/>
      <w:lvlText w:val=""/>
      <w:lvlJc w:val="left"/>
      <w:pPr>
        <w:ind w:left="1152" w:hanging="1152"/>
      </w:pPr>
      <w:rPr/>
    </w:lvl>
    <w:lvl w:ilvl="6">
      <w:start w:val="1"/>
      <w:numFmt w:val="none"/>
      <w:suff w:val="nothing"/>
      <w:lvlText w:val=""/>
      <w:lvlJc w:val="left"/>
      <w:pPr>
        <w:ind w:left="1296" w:hanging="1296"/>
      </w:pPr>
      <w:rPr/>
    </w:lvl>
    <w:lvl w:ilvl="7">
      <w:start w:val="1"/>
      <w:numFmt w:val="none"/>
      <w:suff w:val="nothing"/>
      <w:lvlText w:val=""/>
      <w:lvlJc w:val="left"/>
      <w:pPr>
        <w:ind w:left="1440" w:hanging="1440"/>
      </w:pPr>
      <w:rPr/>
    </w:lvl>
    <w:lvl w:ilvl="8">
      <w:start w:val="1"/>
      <w:numFmt w:val="none"/>
      <w:suff w:val="nothing"/>
      <w:lvlText w:val=""/>
      <w:lvlJc w:val="left"/>
      <w:pPr>
        <w:ind w:left="1584" w:hanging="1584"/>
      </w:pPr>
      <w:rPr/>
    </w:lvl>
  </w:abstractNum>
  <w:abstractNum w:abstractNumId="2">
    <w:lvl w:ilvl="0">
      <w:start w:val="1"/>
      <w:numFmt w:val="none"/>
      <w:suff w:val="nothing"/>
      <w:lvlText w:val=""/>
      <w:lvlJc w:val="left"/>
      <w:pPr>
        <w:ind w:left="432" w:hanging="432"/>
      </w:pPr>
      <w:rPr/>
    </w:lvl>
    <w:lvl w:ilvl="1">
      <w:start w:val="1"/>
      <w:numFmt w:val="none"/>
      <w:suff w:val="nothing"/>
      <w:lvlText w:val=""/>
      <w:lvlJc w:val="left"/>
      <w:pPr>
        <w:ind w:left="576" w:hanging="576"/>
      </w:pPr>
      <w:rPr/>
    </w:lvl>
    <w:lvl w:ilvl="2">
      <w:start w:val="1"/>
      <w:numFmt w:val="none"/>
      <w:suff w:val="nothing"/>
      <w:lvlText w:val=""/>
      <w:lvlJc w:val="left"/>
      <w:pPr>
        <w:ind w:left="720" w:hanging="720"/>
      </w:pPr>
      <w:rPr>
        <w:sz w:val="26"/>
        <w:szCs w:val="26"/>
      </w:rPr>
    </w:lvl>
    <w:lvl w:ilvl="3">
      <w:start w:val="1"/>
      <w:numFmt w:val="none"/>
      <w:suff w:val="nothing"/>
      <w:lvlText w:val=""/>
      <w:lvlJc w:val="left"/>
      <w:pPr>
        <w:ind w:left="864" w:hanging="864"/>
      </w:pPr>
      <w:rPr/>
    </w:lvl>
    <w:lvl w:ilvl="4">
      <w:start w:val="1"/>
      <w:numFmt w:val="none"/>
      <w:suff w:val="nothing"/>
      <w:lvlText w:val=""/>
      <w:lvlJc w:val="left"/>
      <w:pPr>
        <w:ind w:left="1008" w:hanging="1008"/>
      </w:pPr>
      <w:rPr/>
    </w:lvl>
    <w:lvl w:ilvl="5">
      <w:start w:val="1"/>
      <w:numFmt w:val="none"/>
      <w:suff w:val="nothing"/>
      <w:lvlText w:val=""/>
      <w:lvlJc w:val="left"/>
      <w:pPr>
        <w:ind w:left="1152" w:hanging="1152"/>
      </w:pPr>
      <w:rPr/>
    </w:lvl>
    <w:lvl w:ilvl="6">
      <w:start w:val="1"/>
      <w:numFmt w:val="none"/>
      <w:suff w:val="nothing"/>
      <w:lvlText w:val=""/>
      <w:lvlJc w:val="left"/>
      <w:pPr>
        <w:ind w:left="1296" w:hanging="1296"/>
      </w:pPr>
      <w:rPr/>
    </w:lvl>
    <w:lvl w:ilvl="7">
      <w:start w:val="1"/>
      <w:numFmt w:val="none"/>
      <w:suff w:val="nothing"/>
      <w:lvlText w:val=""/>
      <w:lvlJc w:val="left"/>
      <w:pPr>
        <w:ind w:left="1440" w:hanging="1440"/>
      </w:pPr>
      <w:rPr/>
    </w:lvl>
    <w:lvl w:ilvl="8">
      <w:start w:val="1"/>
      <w:numFmt w:val="none"/>
      <w:suff w:val="nothing"/>
      <w:lvlText w:val=""/>
      <w:lvlJc w:val="left"/>
      <w:pPr>
        <w:ind w:left="1584" w:hanging="1584"/>
      </w:pPr>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50"/>
  <w:displayBackgroundShape/>
  <w:defaultTabStop w:val="720"/>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suppressAutoHyphens w:val="true"/>
      <w:kinsoku w:val="true"/>
      <w:overflowPunct w:val="true"/>
      <w:autoSpaceDE w:val="true"/>
      <w:bidi w:val="0"/>
    </w:pPr>
    <w:rPr>
      <w:rFonts w:ascii="Times New Roman" w:hAnsi="Times New Roman" w:eastAsia="Times New Roman" w:cs="Times New Roman"/>
      <w:color w:val="auto"/>
      <w:sz w:val="24"/>
      <w:szCs w:val="24"/>
      <w:lang w:val="ru-RU" w:eastAsia="zh-CN"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z w:val="26"/>
      <w:szCs w:val="26"/>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style>
  <w:style w:type="character" w:styleId="WW8Num4z1">
    <w:name w:val="WW8Num4z1"/>
    <w:qFormat/>
    <w:rPr/>
  </w:style>
  <w:style w:type="character" w:styleId="WW8Num4z2">
    <w:name w:val="WW8Num4z2"/>
    <w:qFormat/>
    <w:rPr>
      <w:sz w:val="26"/>
      <w:szCs w:val="26"/>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style>
  <w:style w:type="character" w:styleId="WW8Num5z1">
    <w:name w:val="WW8Num5z1"/>
    <w:qFormat/>
    <w:rPr/>
  </w:style>
  <w:style w:type="character" w:styleId="WW8Num5z2">
    <w:name w:val="WW8Num5z2"/>
    <w:qFormat/>
    <w:rPr>
      <w:sz w:val="26"/>
      <w:szCs w:val="26"/>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Style14">
    <w:name w:val="Основной шрифт абзаца"/>
    <w:qFormat/>
    <w:rPr/>
  </w:style>
  <w:style w:type="character" w:styleId="Style15">
    <w:name w:val="Основной текст Знак"/>
    <w:basedOn w:val="Style14"/>
    <w:qFormat/>
    <w:rPr>
      <w:rFonts w:eastAsia="Times New Roman" w:cs="Times New Roman"/>
      <w:color w:val="00000A"/>
      <w:szCs w:val="20"/>
      <w:lang w:eastAsia="zh-CN"/>
    </w:rPr>
  </w:style>
  <w:style w:type="character" w:styleId="Style16">
    <w:name w:val="Интернет-ссылка"/>
    <w:basedOn w:val="Style14"/>
    <w:rPr>
      <w:color w:val="0000FF"/>
      <w:u w:val="single"/>
    </w:rPr>
  </w:style>
  <w:style w:type="paragraph" w:styleId="Style17">
    <w:name w:val="Заголовок"/>
    <w:basedOn w:val="Normal"/>
    <w:next w:val="Style18"/>
    <w:qFormat/>
    <w:pPr/>
    <w:rPr>
      <w:rFonts w:ascii="Arial" w:hAnsi="Arial" w:cs="Arial"/>
      <w:b/>
      <w:color w:val="00000A"/>
      <w:sz w:val="22"/>
      <w:szCs w:val="20"/>
      <w:lang w:eastAsia="zh-CN"/>
    </w:rPr>
  </w:style>
  <w:style w:type="paragraph" w:styleId="Style18">
    <w:name w:val="Body Text"/>
    <w:basedOn w:val="Normal"/>
    <w:pPr>
      <w:spacing w:before="0" w:after="120"/>
    </w:pPr>
    <w:rPr>
      <w:color w:val="00000A"/>
      <w:szCs w:val="20"/>
      <w:lang w:eastAsia="zh-CN"/>
    </w:rPr>
  </w:style>
  <w:style w:type="paragraph" w:styleId="Style19">
    <w:name w:val="List"/>
    <w:basedOn w:val="Style18"/>
    <w:pPr/>
    <w:rPr>
      <w:rFonts w:cs="Arial"/>
    </w:rPr>
  </w:style>
  <w:style w:type="paragraph" w:styleId="Style20">
    <w:name w:val="Caption"/>
    <w:basedOn w:val="Normal"/>
    <w:qFormat/>
    <w:pPr>
      <w:suppressLineNumbers/>
      <w:spacing w:before="120" w:after="120"/>
    </w:pPr>
    <w:rPr>
      <w:rFonts w:cs="Arial"/>
      <w:i/>
      <w:iCs/>
      <w:sz w:val="24"/>
      <w:szCs w:val="24"/>
    </w:rPr>
  </w:style>
  <w:style w:type="paragraph" w:styleId="Style21">
    <w:name w:val="Указатель"/>
    <w:basedOn w:val="Normal"/>
    <w:qFormat/>
    <w:pPr>
      <w:suppressLineNumbers/>
    </w:pPr>
    <w:rPr>
      <w:rFonts w:cs="Arial"/>
    </w:rPr>
  </w:style>
  <w:style w:type="paragraph" w:styleId="Parametervalue">
    <w:name w:val="parametervalue"/>
    <w:basedOn w:val="Normal"/>
    <w:qFormat/>
    <w:pPr>
      <w:suppressAutoHyphens w:val="true"/>
      <w:spacing w:before="280" w:after="280"/>
    </w:pPr>
    <w:rPr>
      <w:lang w:eastAsia="zh-CN"/>
    </w:rPr>
  </w:style>
  <w:style w:type="paragraph" w:styleId="Style22">
    <w:name w:val="Абзац списка"/>
    <w:basedOn w:val="Normal"/>
    <w:qFormat/>
    <w:pPr>
      <w:spacing w:before="0" w:after="0"/>
      <w:ind w:left="720" w:right="0" w:hanging="0"/>
      <w:contextualSpacing/>
    </w:pPr>
    <w:rPr/>
  </w:style>
  <w:style w:type="paragraph" w:styleId="Style23">
    <w:name w:val="Адресат вверху"/>
    <w:basedOn w:val="Normal"/>
    <w:qFormat/>
    <w:pPr>
      <w:suppressAutoHyphens w:val="true"/>
      <w:jc w:val="both"/>
    </w:pPr>
    <w:rPr>
      <w:b/>
      <w:szCs w:val="20"/>
    </w:rPr>
  </w:style>
  <w:style w:type="paragraph" w:styleId="Heading3">
    <w:name w:val="Heading 3"/>
    <w:basedOn w:val="Normal"/>
    <w:next w:val="Normal"/>
    <w:qFormat/>
    <w:pPr>
      <w:keepNext/>
      <w:numPr>
        <w:ilvl w:val="0"/>
        <w:numId w:val="1"/>
      </w:numPr>
      <w:jc w:val="center"/>
    </w:pPr>
    <w:rPr>
      <w:b/>
      <w:color w:val="00000A"/>
      <w:sz w:val="28"/>
      <w:szCs w:val="20"/>
      <w:lang w:eastAsia="zh-CN"/>
    </w:rPr>
  </w:style>
  <w:style w:type="paragraph" w:styleId="Preformat">
    <w:name w:val="Preformat"/>
    <w:qFormat/>
    <w:pPr>
      <w:widowControl/>
      <w:suppressAutoHyphens w:val="true"/>
      <w:kinsoku w:val="true"/>
      <w:overflowPunct w:val="true"/>
      <w:autoSpaceDE w:val="true"/>
      <w:bidi w:val="0"/>
    </w:pPr>
    <w:rPr>
      <w:rFonts w:ascii="Courier New" w:hAnsi="Courier New" w:eastAsia="Times New Roman" w:cs="Courier New"/>
      <w:color w:val="00000A"/>
      <w:sz w:val="20"/>
      <w:szCs w:val="20"/>
      <w:lang w:val="ru-RU" w:eastAsia="zh-CN" w:bidi="ar-SA"/>
    </w:rPr>
  </w:style>
  <w:style w:type="paragraph" w:styleId="ConsPlusNonformat">
    <w:name w:val="ConsPlusNonformat"/>
    <w:qFormat/>
    <w:pPr>
      <w:widowControl w:val="false"/>
      <w:suppressAutoHyphens w:val="true"/>
      <w:kinsoku w:val="true"/>
      <w:overflowPunct w:val="true"/>
      <w:autoSpaceDE w:val="false"/>
      <w:bidi w:val="0"/>
    </w:pPr>
    <w:rPr>
      <w:rFonts w:ascii="Courier New" w:hAnsi="Courier New" w:eastAsia="Times New Roman" w:cs="Courier New"/>
      <w:color w:val="auto"/>
      <w:sz w:val="20"/>
      <w:szCs w:val="20"/>
      <w:lang w:val="ru-RU" w:eastAsia="zh-CN" w:bidi="ar-SA"/>
    </w:rPr>
  </w:style>
  <w:style w:type="paragraph" w:styleId="A">
    <w:name w:val="a"/>
    <w:basedOn w:val="Normal"/>
    <w:qFormat/>
    <w:pPr>
      <w:suppressAutoHyphens w:val="true"/>
      <w:spacing w:before="280" w:after="280"/>
    </w:pPr>
    <w:rPr>
      <w:rFonts w:eastAsia="SimSun;宋体"/>
      <w:color w:val="00000A"/>
      <w:lang w:eastAsia="zh-CN"/>
    </w:rPr>
  </w:style>
  <w:style w:type="paragraph" w:styleId="ConsPlusNormal">
    <w:name w:val="ConsPlusNormal"/>
    <w:qFormat/>
    <w:pPr>
      <w:widowControl/>
      <w:suppressAutoHyphens w:val="true"/>
      <w:kinsoku w:val="true"/>
      <w:overflowPunct w:val="true"/>
      <w:autoSpaceDE w:val="true"/>
      <w:bidi w:val="0"/>
    </w:pPr>
    <w:rPr>
      <w:rFonts w:ascii="Times New Roman" w:hAnsi="Times New Roman" w:eastAsia="SimSun;宋体" w:cs="Times New Roman"/>
      <w:color w:val="00000A"/>
      <w:sz w:val="28"/>
      <w:szCs w:val="28"/>
      <w:lang w:val="ru-RU" w:eastAsia="zh-CN" w:bidi="ar-SA"/>
    </w:rPr>
  </w:style>
  <w:style w:type="paragraph" w:styleId="Style24">
    <w:name w:val="Содержимое таблицы"/>
    <w:basedOn w:val="Normal"/>
    <w:qFormat/>
    <w:pPr>
      <w:suppressLineNumbers/>
    </w:pPr>
    <w:rPr/>
  </w:style>
  <w:style w:type="paragraph" w:styleId="Style25">
    <w:name w:val="Заголовок таблицы"/>
    <w:basedOn w:val="Style24"/>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pravo.gov.ru/"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156</TotalTime>
  <Application>LibreOffice/5.1.2.2$Windows_X86_64 LibreOffice_project/d3bf12ecb743fc0d20e0be0c58ca359301eb705f</Application>
  <Pages>12</Pages>
  <Words>4176</Words>
  <Characters>28947</Characters>
  <CharactersWithSpaces>34467</CharactersWithSpaces>
  <Paragraphs>127</Paragraphs>
  <Company>КонсультантПлюс Версия 4018.00.51</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2019-07-10T16:57:05Z</dcterms:created>
  <dc:creator/>
  <dc:description/>
  <dc:language>ru-RU</dc:language>
  <cp:lastModifiedBy/>
  <cp:lastPrinted>2019-07-10T12:56:00Z</cp:lastPrinted>
  <dcterms:modified xsi:type="dcterms:W3CDTF">2019-07-10T16:58:01Z</dcterms:modified>
  <cp:revision>17</cp:revision>
  <dc:subject/>
  <dc:title>Федеральный закон от 05.04.2013 N 44-ФЗ(ред. от 27.06.2019)"О контрактной системе в сфере закупок товаров, работ, услуг для обеспечения государственных и муниципальных нужд"(с изм. и доп., вступ. в силу с 01.07.2019)</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КонсультантПлюс Версия 4018.00.51</vt:lpwstr>
  </property>
</Properties>
</file>