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50" w:rsidRPr="008222B7" w:rsidRDefault="008E5F50" w:rsidP="00822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5387"/>
        <w:contextualSpacing/>
        <w:rPr>
          <w:rFonts w:eastAsia="Times New Roman" w:cs="Times New Roman"/>
          <w:color w:val="auto"/>
          <w:bdr w:val="none" w:sz="0" w:space="0" w:color="auto"/>
          <w:lang w:val="ru-RU" w:eastAsia="ar-SA"/>
        </w:rPr>
      </w:pPr>
    </w:p>
    <w:p w:rsidR="00015969" w:rsidRDefault="007156AE" w:rsidP="007156AE">
      <w:pPr>
        <w:pStyle w:val="ConsPlusNormal"/>
        <w:widowControl w:val="0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ar-SA"/>
        </w:rPr>
        <w:t xml:space="preserve">                                                       </w:t>
      </w:r>
      <w:r w:rsidR="0013177E">
        <w:rPr>
          <w:rFonts w:ascii="Times New Roman" w:hAnsi="Times New Roman"/>
          <w:sz w:val="26"/>
          <w:szCs w:val="26"/>
        </w:rPr>
        <w:t>РЕШЕНИЕ по жалоб</w:t>
      </w:r>
      <w:r w:rsidR="00DC43BF">
        <w:rPr>
          <w:rFonts w:ascii="Times New Roman" w:hAnsi="Times New Roman"/>
          <w:sz w:val="26"/>
          <w:szCs w:val="26"/>
        </w:rPr>
        <w:t xml:space="preserve">е </w:t>
      </w:r>
      <w:r w:rsidR="0095755A">
        <w:rPr>
          <w:rFonts w:ascii="Times New Roman" w:hAnsi="Times New Roman"/>
          <w:sz w:val="26"/>
          <w:szCs w:val="26"/>
        </w:rPr>
        <w:t>№</w:t>
      </w:r>
      <w:r w:rsidR="00FE2F3A" w:rsidRPr="00FE2F3A">
        <w:rPr>
          <w:rFonts w:ascii="Times New Roman" w:hAnsi="Times New Roman"/>
          <w:sz w:val="26"/>
          <w:szCs w:val="26"/>
        </w:rPr>
        <w:t>1333</w:t>
      </w:r>
      <w:r w:rsidR="004F51B2">
        <w:rPr>
          <w:rFonts w:ascii="Times New Roman" w:hAnsi="Times New Roman"/>
          <w:sz w:val="26"/>
          <w:szCs w:val="26"/>
        </w:rPr>
        <w:t>-11</w:t>
      </w:r>
      <w:r w:rsidR="00D70C6A">
        <w:rPr>
          <w:rFonts w:ascii="Times New Roman" w:hAnsi="Times New Roman"/>
          <w:sz w:val="26"/>
          <w:szCs w:val="26"/>
        </w:rPr>
        <w:t>829</w:t>
      </w:r>
      <w:r w:rsidR="004F51B2">
        <w:rPr>
          <w:rFonts w:ascii="Times New Roman" w:hAnsi="Times New Roman"/>
          <w:sz w:val="26"/>
          <w:szCs w:val="26"/>
        </w:rPr>
        <w:t>-18/4</w:t>
      </w:r>
    </w:p>
    <w:p w:rsidR="00CC35DE" w:rsidRDefault="0013177E" w:rsidP="00571BC8">
      <w:pPr>
        <w:pStyle w:val="ConsPlusNormal"/>
        <w:widowControl w:val="0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Резолютивная часть оглашена</w:t>
      </w:r>
    </w:p>
    <w:p w:rsidR="00CC35DE" w:rsidRDefault="00FE2F3A" w:rsidP="00571BC8">
      <w:pPr>
        <w:pStyle w:val="ConsPlusNormal"/>
        <w:widowControl w:val="0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5EF9">
        <w:rPr>
          <w:rFonts w:ascii="Times New Roman" w:hAnsi="Times New Roman"/>
          <w:sz w:val="26"/>
          <w:szCs w:val="26"/>
        </w:rPr>
        <w:t>18</w:t>
      </w:r>
      <w:r w:rsidR="008310B1">
        <w:rPr>
          <w:rFonts w:ascii="Times New Roman" w:hAnsi="Times New Roman"/>
          <w:sz w:val="26"/>
          <w:szCs w:val="26"/>
        </w:rPr>
        <w:t>.</w:t>
      </w:r>
      <w:r w:rsidR="00776742" w:rsidRPr="00776742">
        <w:rPr>
          <w:rFonts w:ascii="Times New Roman" w:hAnsi="Times New Roman"/>
          <w:sz w:val="26"/>
          <w:szCs w:val="26"/>
        </w:rPr>
        <w:t>10.</w:t>
      </w:r>
      <w:r w:rsidR="008310B1">
        <w:rPr>
          <w:rFonts w:ascii="Times New Roman" w:hAnsi="Times New Roman"/>
          <w:sz w:val="26"/>
          <w:szCs w:val="26"/>
        </w:rPr>
        <w:t>2018</w:t>
      </w:r>
      <w:r w:rsidR="0013177E">
        <w:rPr>
          <w:rFonts w:ascii="Times New Roman" w:hAnsi="Times New Roman"/>
          <w:sz w:val="26"/>
          <w:szCs w:val="26"/>
        </w:rPr>
        <w:t xml:space="preserve"> г.</w:t>
      </w:r>
      <w:r w:rsidR="0013177E">
        <w:rPr>
          <w:rFonts w:ascii="Times New Roman" w:hAnsi="Times New Roman"/>
          <w:sz w:val="26"/>
          <w:szCs w:val="26"/>
        </w:rPr>
        <w:tab/>
      </w:r>
      <w:r w:rsidR="00132A6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13177E">
        <w:rPr>
          <w:rFonts w:ascii="Times New Roman" w:hAnsi="Times New Roman"/>
          <w:sz w:val="26"/>
          <w:szCs w:val="26"/>
        </w:rPr>
        <w:t>г.о. Самара</w:t>
      </w:r>
    </w:p>
    <w:p w:rsidR="00CC35DE" w:rsidRDefault="00CC35DE" w:rsidP="00571BC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09DD" w:rsidRPr="0095755A" w:rsidRDefault="0013177E" w:rsidP="000209D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Комиссия Управления Федеральной антимонопольной службы по Самарской области (</w:t>
      </w:r>
      <w:proofErr w:type="gramStart"/>
      <w:r>
        <w:rPr>
          <w:rFonts w:ascii="Times New Roman" w:hAnsi="Times New Roman"/>
          <w:sz w:val="26"/>
          <w:szCs w:val="26"/>
        </w:rPr>
        <w:t>Самарское</w:t>
      </w:r>
      <w:proofErr w:type="gramEnd"/>
      <w:r>
        <w:rPr>
          <w:rFonts w:ascii="Times New Roman" w:hAnsi="Times New Roman"/>
          <w:sz w:val="26"/>
          <w:szCs w:val="26"/>
        </w:rPr>
        <w:t xml:space="preserve"> УФАС России) по контролю в сфере закупок (далее – Комиссия Самарского УФАС) в составе: </w:t>
      </w:r>
    </w:p>
    <w:p w:rsidR="00BE226F" w:rsidRPr="00A504D7" w:rsidRDefault="0013177E" w:rsidP="00BE2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рассмотрев в порядке, установленном стат</w:t>
      </w:r>
      <w:r w:rsidR="00DC43BF">
        <w:rPr>
          <w:rFonts w:ascii="Times New Roman" w:hAnsi="Times New Roman"/>
          <w:sz w:val="26"/>
          <w:szCs w:val="26"/>
        </w:rPr>
        <w:t>ьей 106 Федерального закона от 0</w:t>
      </w:r>
      <w:r>
        <w:rPr>
          <w:rFonts w:ascii="Times New Roman" w:hAnsi="Times New Roman"/>
          <w:sz w:val="26"/>
          <w:szCs w:val="26"/>
        </w:rPr>
        <w:t xml:space="preserve">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Приказом </w:t>
      </w:r>
      <w:r w:rsidR="00DC43BF">
        <w:rPr>
          <w:rFonts w:ascii="Times New Roman" w:hAnsi="Times New Roman"/>
          <w:sz w:val="26"/>
          <w:szCs w:val="26"/>
        </w:rPr>
        <w:t>ФАС России</w:t>
      </w:r>
      <w:r>
        <w:rPr>
          <w:rFonts w:ascii="Times New Roman" w:hAnsi="Times New Roman"/>
          <w:sz w:val="26"/>
          <w:szCs w:val="26"/>
        </w:rPr>
        <w:t xml:space="preserve"> от 19 ноября 2014 г. № 727/14 «Об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(бездействие) заказчика, уполномоченного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 при определении поставщиков (подрядчиков, исполнителей) для обеспечения государственных и муниципальных нужд», </w:t>
      </w:r>
      <w:r w:rsidR="00DC43BF" w:rsidRPr="00387679">
        <w:rPr>
          <w:rFonts w:ascii="Times New Roman" w:hAnsi="Times New Roman"/>
          <w:sz w:val="26"/>
          <w:szCs w:val="26"/>
        </w:rPr>
        <w:t>жалобу</w:t>
      </w:r>
      <w:r w:rsidR="00CF6E75" w:rsidRPr="00387679">
        <w:rPr>
          <w:rFonts w:ascii="Times New Roman" w:hAnsi="Times New Roman"/>
          <w:sz w:val="26"/>
          <w:szCs w:val="26"/>
        </w:rPr>
        <w:t xml:space="preserve"> </w:t>
      </w:r>
      <w:r w:rsidR="004F51B2" w:rsidRPr="00387679">
        <w:rPr>
          <w:rFonts w:ascii="Times New Roman" w:hAnsi="Times New Roman"/>
          <w:sz w:val="26"/>
          <w:szCs w:val="26"/>
        </w:rPr>
        <w:t>ООО «</w:t>
      </w:r>
      <w:proofErr w:type="spellStart"/>
      <w:r w:rsidR="00387679" w:rsidRPr="00387679">
        <w:rPr>
          <w:rFonts w:ascii="Times New Roman" w:hAnsi="Times New Roman"/>
          <w:sz w:val="26"/>
          <w:szCs w:val="26"/>
        </w:rPr>
        <w:t>Тольяттистрой</w:t>
      </w:r>
      <w:proofErr w:type="spellEnd"/>
      <w:r w:rsidR="004F51B2" w:rsidRPr="00387679">
        <w:rPr>
          <w:rFonts w:ascii="Times New Roman" w:hAnsi="Times New Roman"/>
          <w:sz w:val="26"/>
          <w:szCs w:val="26"/>
        </w:rPr>
        <w:t xml:space="preserve">» </w:t>
      </w:r>
      <w:r w:rsidR="00BE226F" w:rsidRPr="00D76C97">
        <w:rPr>
          <w:rFonts w:ascii="Times New Roman" w:hAnsi="Times New Roman" w:cs="Times New Roman"/>
          <w:sz w:val="26"/>
          <w:szCs w:val="26"/>
        </w:rPr>
        <w:t xml:space="preserve">на </w:t>
      </w:r>
      <w:r w:rsidR="00BE226F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BE226F" w:rsidRPr="00D76C97">
        <w:rPr>
          <w:rFonts w:ascii="Times New Roman" w:hAnsi="Times New Roman" w:cs="Times New Roman"/>
          <w:sz w:val="26"/>
          <w:szCs w:val="26"/>
        </w:rPr>
        <w:t xml:space="preserve">аукционной </w:t>
      </w:r>
      <w:r w:rsidR="00BE226F">
        <w:rPr>
          <w:rFonts w:ascii="Times New Roman" w:hAnsi="Times New Roman" w:cs="Times New Roman"/>
          <w:sz w:val="26"/>
          <w:szCs w:val="26"/>
        </w:rPr>
        <w:t xml:space="preserve">комиссии при проведении электронного аукциона на выполнение работ по </w:t>
      </w:r>
      <w:r w:rsidR="00FE2F3A">
        <w:rPr>
          <w:rFonts w:ascii="Times New Roman" w:hAnsi="Times New Roman" w:cs="Times New Roman"/>
          <w:sz w:val="26"/>
          <w:szCs w:val="26"/>
        </w:rPr>
        <w:t>ремонту кровли, в рамках реализации мероприятий «Капитальный ремонт ГБОУ ООШ с. Сидоровка</w:t>
      </w:r>
      <w:r w:rsidR="00BE226F">
        <w:rPr>
          <w:rFonts w:ascii="Times New Roman" w:hAnsi="Times New Roman" w:cs="Times New Roman"/>
          <w:sz w:val="26"/>
          <w:szCs w:val="26"/>
        </w:rPr>
        <w:t xml:space="preserve"> (извещение </w:t>
      </w:r>
      <w:r w:rsidR="00BE226F" w:rsidRPr="00732097">
        <w:rPr>
          <w:rFonts w:ascii="Times New Roman" w:hAnsi="Times New Roman" w:cs="Times New Roman"/>
          <w:sz w:val="26"/>
          <w:szCs w:val="26"/>
        </w:rPr>
        <w:t>№</w:t>
      </w:r>
      <w:r w:rsidR="00BE226F">
        <w:rPr>
          <w:rFonts w:ascii="Times New Roman" w:hAnsi="Times New Roman" w:cs="Times New Roman"/>
          <w:sz w:val="26"/>
          <w:szCs w:val="26"/>
        </w:rPr>
        <w:t xml:space="preserve"> </w:t>
      </w:r>
      <w:r w:rsidR="00FE2F3A">
        <w:rPr>
          <w:rFonts w:ascii="Times New Roman" w:hAnsi="Times New Roman" w:cs="Times New Roman"/>
          <w:sz w:val="26"/>
          <w:szCs w:val="26"/>
        </w:rPr>
        <w:t>0142300040818000184</w:t>
      </w:r>
      <w:proofErr w:type="gramEnd"/>
      <w:r w:rsidR="00BE226F">
        <w:rPr>
          <w:rFonts w:ascii="Times New Roman" w:hAnsi="Times New Roman" w:cs="Times New Roman"/>
          <w:sz w:val="26"/>
          <w:szCs w:val="26"/>
        </w:rPr>
        <w:t xml:space="preserve">,  </w:t>
      </w:r>
      <w:r w:rsidR="00BE226F" w:rsidRPr="00616B8C">
        <w:rPr>
          <w:rFonts w:ascii="Times New Roman" w:hAnsi="Times New Roman" w:cs="Times New Roman"/>
          <w:sz w:val="26"/>
          <w:szCs w:val="26"/>
        </w:rPr>
        <w:t>начальная (максимальная) цена контракта</w:t>
      </w:r>
      <w:r w:rsidR="00BE226F">
        <w:rPr>
          <w:rFonts w:ascii="Times New Roman" w:hAnsi="Times New Roman" w:cs="Times New Roman"/>
          <w:sz w:val="26"/>
          <w:szCs w:val="26"/>
        </w:rPr>
        <w:t xml:space="preserve"> </w:t>
      </w:r>
      <w:r w:rsidR="00BE226F" w:rsidRPr="00616B8C">
        <w:rPr>
          <w:rFonts w:ascii="Times New Roman" w:hAnsi="Times New Roman" w:cs="Times New Roman"/>
          <w:sz w:val="26"/>
          <w:szCs w:val="26"/>
        </w:rPr>
        <w:t xml:space="preserve"> </w:t>
      </w:r>
      <w:r w:rsidR="00BE226F">
        <w:rPr>
          <w:rFonts w:ascii="Times New Roman" w:hAnsi="Times New Roman" w:cs="Times New Roman"/>
          <w:sz w:val="26"/>
          <w:szCs w:val="26"/>
        </w:rPr>
        <w:t xml:space="preserve">– </w:t>
      </w:r>
      <w:r w:rsidR="00FE2F3A">
        <w:rPr>
          <w:rFonts w:ascii="Times New Roman" w:hAnsi="Times New Roman" w:cs="Times New Roman"/>
          <w:sz w:val="26"/>
          <w:szCs w:val="26"/>
        </w:rPr>
        <w:t>2 800 641,00</w:t>
      </w:r>
      <w:r w:rsidR="00BE226F">
        <w:rPr>
          <w:rFonts w:ascii="Times New Roman" w:hAnsi="Times New Roman" w:cs="Times New Roman"/>
          <w:sz w:val="26"/>
          <w:szCs w:val="26"/>
        </w:rPr>
        <w:t xml:space="preserve">  руб.)</w:t>
      </w:r>
    </w:p>
    <w:p w:rsidR="002A0285" w:rsidRPr="002A0285" w:rsidRDefault="00AF30F0" w:rsidP="002A028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F30F0">
        <w:rPr>
          <w:rFonts w:ascii="Times New Roman" w:hAnsi="Times New Roman"/>
          <w:sz w:val="26"/>
          <w:szCs w:val="26"/>
        </w:rPr>
        <w:t xml:space="preserve">в присутствии представителей: </w:t>
      </w:r>
    </w:p>
    <w:p w:rsidR="00CC35DE" w:rsidRDefault="0013177E" w:rsidP="00571BC8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УСТАНОВИЛА:</w:t>
      </w:r>
    </w:p>
    <w:p w:rsidR="00A6509D" w:rsidRDefault="00A6509D" w:rsidP="00015969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2F3A" w:rsidRPr="00A504D7" w:rsidRDefault="0013177E" w:rsidP="00FE2F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Самарское УФАС России поступила</w:t>
      </w:r>
      <w:r w:rsidR="00C62EAC">
        <w:rPr>
          <w:rFonts w:ascii="Times New Roman" w:hAnsi="Times New Roman"/>
          <w:sz w:val="26"/>
          <w:szCs w:val="26"/>
        </w:rPr>
        <w:t xml:space="preserve"> </w:t>
      </w:r>
      <w:r w:rsidR="00C62EAC" w:rsidRPr="00387679">
        <w:rPr>
          <w:rFonts w:ascii="Times New Roman" w:hAnsi="Times New Roman"/>
          <w:sz w:val="26"/>
          <w:szCs w:val="26"/>
        </w:rPr>
        <w:t>жалоба</w:t>
      </w:r>
      <w:r w:rsidRPr="00387679">
        <w:rPr>
          <w:rFonts w:ascii="Times New Roman" w:hAnsi="Times New Roman"/>
          <w:sz w:val="26"/>
          <w:szCs w:val="26"/>
        </w:rPr>
        <w:t xml:space="preserve"> </w:t>
      </w:r>
      <w:r w:rsidR="004F51B2" w:rsidRPr="00387679">
        <w:rPr>
          <w:rFonts w:ascii="Times New Roman" w:hAnsi="Times New Roman"/>
          <w:sz w:val="26"/>
          <w:szCs w:val="26"/>
        </w:rPr>
        <w:t>ООО «</w:t>
      </w:r>
      <w:proofErr w:type="spellStart"/>
      <w:r w:rsidR="00387679" w:rsidRPr="00387679">
        <w:rPr>
          <w:rFonts w:ascii="Times New Roman" w:hAnsi="Times New Roman"/>
          <w:sz w:val="26"/>
          <w:szCs w:val="26"/>
        </w:rPr>
        <w:t>Тольяттистрой</w:t>
      </w:r>
      <w:proofErr w:type="spellEnd"/>
      <w:r w:rsidR="004F51B2" w:rsidRPr="00387679">
        <w:rPr>
          <w:rFonts w:ascii="Times New Roman" w:hAnsi="Times New Roman"/>
          <w:sz w:val="26"/>
          <w:szCs w:val="26"/>
        </w:rPr>
        <w:t xml:space="preserve">» </w:t>
      </w:r>
      <w:r w:rsidR="00FE2F3A" w:rsidRPr="00D76C97">
        <w:rPr>
          <w:rFonts w:ascii="Times New Roman" w:hAnsi="Times New Roman" w:cs="Times New Roman"/>
          <w:sz w:val="26"/>
          <w:szCs w:val="26"/>
        </w:rPr>
        <w:t xml:space="preserve">на </w:t>
      </w:r>
      <w:r w:rsidR="00FE2F3A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FE2F3A" w:rsidRPr="00D76C97">
        <w:rPr>
          <w:rFonts w:ascii="Times New Roman" w:hAnsi="Times New Roman" w:cs="Times New Roman"/>
          <w:sz w:val="26"/>
          <w:szCs w:val="26"/>
        </w:rPr>
        <w:t xml:space="preserve">аукционной </w:t>
      </w:r>
      <w:r w:rsidR="00FE2F3A">
        <w:rPr>
          <w:rFonts w:ascii="Times New Roman" w:hAnsi="Times New Roman" w:cs="Times New Roman"/>
          <w:sz w:val="26"/>
          <w:szCs w:val="26"/>
        </w:rPr>
        <w:t xml:space="preserve">комиссии при проведении электронного аукциона на выполнение работ по ремонту кровли, в рамках реализации мероприятий «Капитальный ремонт ГБОУ ООШ </w:t>
      </w:r>
      <w:proofErr w:type="gramStart"/>
      <w:r w:rsidR="00FE2F3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FE2F3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E2F3A">
        <w:rPr>
          <w:rFonts w:ascii="Times New Roman" w:hAnsi="Times New Roman" w:cs="Times New Roman"/>
          <w:sz w:val="26"/>
          <w:szCs w:val="26"/>
        </w:rPr>
        <w:t>Сидоровка</w:t>
      </w:r>
      <w:proofErr w:type="gramEnd"/>
      <w:r w:rsidR="00FE2F3A">
        <w:rPr>
          <w:rFonts w:ascii="Times New Roman" w:hAnsi="Times New Roman" w:cs="Times New Roman"/>
          <w:sz w:val="26"/>
          <w:szCs w:val="26"/>
        </w:rPr>
        <w:t xml:space="preserve"> (извещение </w:t>
      </w:r>
      <w:r w:rsidR="00FE2F3A" w:rsidRPr="00732097">
        <w:rPr>
          <w:rFonts w:ascii="Times New Roman" w:hAnsi="Times New Roman" w:cs="Times New Roman"/>
          <w:sz w:val="26"/>
          <w:szCs w:val="26"/>
        </w:rPr>
        <w:t>№</w:t>
      </w:r>
      <w:r w:rsidR="00FE2F3A">
        <w:rPr>
          <w:rFonts w:ascii="Times New Roman" w:hAnsi="Times New Roman" w:cs="Times New Roman"/>
          <w:sz w:val="26"/>
          <w:szCs w:val="26"/>
        </w:rPr>
        <w:t xml:space="preserve"> 0142300040818000184,  </w:t>
      </w:r>
      <w:r w:rsidR="00FE2F3A" w:rsidRPr="00616B8C">
        <w:rPr>
          <w:rFonts w:ascii="Times New Roman" w:hAnsi="Times New Roman" w:cs="Times New Roman"/>
          <w:sz w:val="26"/>
          <w:szCs w:val="26"/>
        </w:rPr>
        <w:t>начальная (максимальная) цена контракта</w:t>
      </w:r>
      <w:r w:rsidR="00FE2F3A">
        <w:rPr>
          <w:rFonts w:ascii="Times New Roman" w:hAnsi="Times New Roman" w:cs="Times New Roman"/>
          <w:sz w:val="26"/>
          <w:szCs w:val="26"/>
        </w:rPr>
        <w:t xml:space="preserve"> </w:t>
      </w:r>
      <w:r w:rsidR="00FE2F3A" w:rsidRPr="00616B8C">
        <w:rPr>
          <w:rFonts w:ascii="Times New Roman" w:hAnsi="Times New Roman" w:cs="Times New Roman"/>
          <w:sz w:val="26"/>
          <w:szCs w:val="26"/>
        </w:rPr>
        <w:t xml:space="preserve"> </w:t>
      </w:r>
      <w:r w:rsidR="00FE2F3A">
        <w:rPr>
          <w:rFonts w:ascii="Times New Roman" w:hAnsi="Times New Roman" w:cs="Times New Roman"/>
          <w:sz w:val="26"/>
          <w:szCs w:val="26"/>
        </w:rPr>
        <w:t>– 2 800 641,00  руб.)</w:t>
      </w:r>
    </w:p>
    <w:p w:rsidR="00CC35DE" w:rsidRDefault="0013177E" w:rsidP="007C72E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Заявител</w:t>
      </w:r>
      <w:r>
        <w:rPr>
          <w:rFonts w:ascii="Times New Roman" w:hAnsi="Times New Roman"/>
          <w:sz w:val="26"/>
          <w:szCs w:val="26"/>
        </w:rPr>
        <w:t xml:space="preserve">ь считает решение аукционной комиссии об отказе в допуске </w:t>
      </w:r>
      <w:r w:rsidR="00582B7E" w:rsidRPr="00582B7E">
        <w:rPr>
          <w:rFonts w:ascii="Times New Roman" w:hAnsi="Times New Roman"/>
          <w:sz w:val="26"/>
          <w:szCs w:val="26"/>
        </w:rPr>
        <w:t>ООО «</w:t>
      </w:r>
      <w:proofErr w:type="spellStart"/>
      <w:r w:rsidR="00387679">
        <w:rPr>
          <w:rFonts w:ascii="Times New Roman" w:hAnsi="Times New Roman"/>
          <w:sz w:val="26"/>
          <w:szCs w:val="26"/>
        </w:rPr>
        <w:t>Тольяттистрой</w:t>
      </w:r>
      <w:proofErr w:type="spellEnd"/>
      <w:r w:rsidR="00582B7E" w:rsidRPr="00582B7E">
        <w:rPr>
          <w:rFonts w:ascii="Times New Roman" w:hAnsi="Times New Roman"/>
          <w:sz w:val="26"/>
          <w:szCs w:val="26"/>
        </w:rPr>
        <w:t>»</w:t>
      </w:r>
      <w:r w:rsidR="004F51B2">
        <w:rPr>
          <w:rFonts w:ascii="Times New Roman" w:hAnsi="Times New Roman"/>
          <w:sz w:val="26"/>
          <w:szCs w:val="26"/>
        </w:rPr>
        <w:t xml:space="preserve"> (</w:t>
      </w:r>
      <w:r w:rsidR="002D44C5" w:rsidRPr="002D44C5">
        <w:rPr>
          <w:rFonts w:ascii="Times New Roman" w:hAnsi="Times New Roman"/>
          <w:sz w:val="26"/>
          <w:szCs w:val="26"/>
        </w:rPr>
        <w:t>заявка №</w:t>
      </w:r>
      <w:r w:rsidR="00BE226F">
        <w:rPr>
          <w:rFonts w:ascii="Times New Roman" w:hAnsi="Times New Roman"/>
          <w:sz w:val="26"/>
          <w:szCs w:val="26"/>
        </w:rPr>
        <w:t>7</w:t>
      </w:r>
      <w:r w:rsidR="003E4155">
        <w:rPr>
          <w:rFonts w:ascii="Times New Roman" w:hAnsi="Times New Roman"/>
          <w:sz w:val="26"/>
          <w:szCs w:val="26"/>
        </w:rPr>
        <w:t>)</w:t>
      </w:r>
      <w:r w:rsidR="00AF30F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участию в аукционе</w:t>
      </w:r>
      <w:r w:rsidR="00566EDB">
        <w:rPr>
          <w:rFonts w:ascii="Times New Roman" w:hAnsi="Times New Roman"/>
          <w:sz w:val="26"/>
          <w:szCs w:val="26"/>
        </w:rPr>
        <w:t xml:space="preserve"> неправомерным, поскольку заявка подана </w:t>
      </w:r>
      <w:r>
        <w:rPr>
          <w:rFonts w:ascii="Times New Roman" w:hAnsi="Times New Roman"/>
          <w:sz w:val="26"/>
          <w:szCs w:val="26"/>
        </w:rPr>
        <w:t>в соответствии с требованиями аукционной документации и Закона о контрактной системе.</w:t>
      </w:r>
    </w:p>
    <w:p w:rsidR="00CC35DE" w:rsidRDefault="0013177E" w:rsidP="00571BC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Прос</w:t>
      </w:r>
      <w:r>
        <w:rPr>
          <w:rFonts w:ascii="Times New Roman" w:hAnsi="Times New Roman"/>
          <w:sz w:val="26"/>
          <w:szCs w:val="26"/>
        </w:rPr>
        <w:t>ит признать жалобу обоснованной, выдать предписание об устранении допущенных при осуществлении закупки нарушений.</w:t>
      </w:r>
    </w:p>
    <w:p w:rsidR="00CC35DE" w:rsidRDefault="00AF30F0" w:rsidP="00571BC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Представитель</w:t>
      </w:r>
      <w:r w:rsidR="008310B1">
        <w:rPr>
          <w:rFonts w:ascii="Times New Roman" w:hAnsi="Times New Roman"/>
          <w:sz w:val="26"/>
          <w:szCs w:val="26"/>
        </w:rPr>
        <w:t xml:space="preserve"> </w:t>
      </w:r>
      <w:r w:rsidR="00ED1F53">
        <w:rPr>
          <w:rFonts w:ascii="Times New Roman" w:hAnsi="Times New Roman"/>
          <w:sz w:val="26"/>
          <w:szCs w:val="26"/>
        </w:rPr>
        <w:t>Заказчика</w:t>
      </w:r>
      <w:r>
        <w:rPr>
          <w:rFonts w:ascii="Times New Roman" w:hAnsi="Times New Roman"/>
          <w:sz w:val="26"/>
          <w:szCs w:val="26"/>
        </w:rPr>
        <w:t xml:space="preserve"> </w:t>
      </w:r>
      <w:r w:rsidR="00566EDB">
        <w:rPr>
          <w:rFonts w:ascii="Times New Roman" w:hAnsi="Times New Roman"/>
          <w:sz w:val="26"/>
          <w:szCs w:val="26"/>
        </w:rPr>
        <w:t>против доводов З</w:t>
      </w:r>
      <w:r w:rsidR="008310B1">
        <w:rPr>
          <w:rFonts w:ascii="Times New Roman" w:hAnsi="Times New Roman"/>
          <w:sz w:val="26"/>
          <w:szCs w:val="26"/>
        </w:rPr>
        <w:t>аявителя возражал</w:t>
      </w:r>
      <w:r w:rsidR="0013177E">
        <w:rPr>
          <w:rFonts w:ascii="Times New Roman" w:hAnsi="Times New Roman"/>
          <w:sz w:val="26"/>
          <w:szCs w:val="26"/>
        </w:rPr>
        <w:t>, указывая на правомер</w:t>
      </w:r>
      <w:r w:rsidR="008310B1">
        <w:rPr>
          <w:rFonts w:ascii="Times New Roman" w:hAnsi="Times New Roman"/>
          <w:sz w:val="26"/>
          <w:szCs w:val="26"/>
        </w:rPr>
        <w:t>ность принятого решения, просил</w:t>
      </w:r>
      <w:r w:rsidR="0013177E">
        <w:rPr>
          <w:rFonts w:ascii="Times New Roman" w:hAnsi="Times New Roman"/>
          <w:sz w:val="26"/>
          <w:szCs w:val="26"/>
        </w:rPr>
        <w:t xml:space="preserve"> отказать в уд</w:t>
      </w:r>
      <w:r w:rsidR="008310B1">
        <w:rPr>
          <w:rFonts w:ascii="Times New Roman" w:hAnsi="Times New Roman"/>
          <w:sz w:val="26"/>
          <w:szCs w:val="26"/>
        </w:rPr>
        <w:t>овлетворении жалобы, представил</w:t>
      </w:r>
      <w:r w:rsidR="0013177E">
        <w:rPr>
          <w:rFonts w:ascii="Times New Roman" w:hAnsi="Times New Roman"/>
          <w:sz w:val="26"/>
          <w:szCs w:val="26"/>
        </w:rPr>
        <w:t xml:space="preserve"> письменные возражения </w:t>
      </w:r>
      <w:r w:rsidR="00566EDB">
        <w:rPr>
          <w:rFonts w:ascii="Times New Roman" w:hAnsi="Times New Roman"/>
          <w:sz w:val="26"/>
          <w:szCs w:val="26"/>
        </w:rPr>
        <w:t>на жалобу</w:t>
      </w:r>
      <w:r w:rsidR="007325F3">
        <w:rPr>
          <w:rFonts w:ascii="Times New Roman" w:hAnsi="Times New Roman"/>
          <w:sz w:val="26"/>
          <w:szCs w:val="26"/>
        </w:rPr>
        <w:t>, запрашиваемые документы.</w:t>
      </w:r>
    </w:p>
    <w:p w:rsidR="00CC35DE" w:rsidRDefault="0013177E" w:rsidP="00571BC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Выслушав доводы сторон, изучив материалы жалобы, документацию об электронном аукционе, протоколы, заявки участников, проведя в соответствии с частью 15 статьи 99 Закона о контрактной системе в сфере закупок внеплановую проверку, Комиссия Самарского УФАС России установила следующее.   </w:t>
      </w:r>
    </w:p>
    <w:p w:rsidR="005B5A08" w:rsidRDefault="00FB055B" w:rsidP="00860675">
      <w:pPr>
        <w:suppressAutoHyphens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Частью</w:t>
      </w:r>
      <w:r w:rsidR="0013177E">
        <w:rPr>
          <w:sz w:val="26"/>
          <w:szCs w:val="26"/>
          <w:lang w:val="ru-RU"/>
        </w:rPr>
        <w:t xml:space="preserve"> 2 статьи 33 Закона о контрактной системе</w:t>
      </w:r>
      <w:r>
        <w:rPr>
          <w:sz w:val="26"/>
          <w:szCs w:val="26"/>
          <w:lang w:val="ru-RU"/>
        </w:rPr>
        <w:t xml:space="preserve"> установлено, что</w:t>
      </w:r>
      <w:r w:rsidR="0013177E">
        <w:rPr>
          <w:sz w:val="26"/>
          <w:szCs w:val="26"/>
          <w:lang w:val="ru-RU"/>
        </w:rPr>
        <w:t xml:space="preserve"> документация о закупке в соответствии с требованиями, указанными в части 1 настоящей статьи, должна содержать показатели, позволяющие определить соответствие </w:t>
      </w:r>
      <w:proofErr w:type="gramStart"/>
      <w:r w:rsidR="0013177E">
        <w:rPr>
          <w:sz w:val="26"/>
          <w:szCs w:val="26"/>
          <w:lang w:val="ru-RU"/>
        </w:rPr>
        <w:t>закупаемых</w:t>
      </w:r>
      <w:proofErr w:type="gramEnd"/>
      <w:r w:rsidR="0013177E">
        <w:rPr>
          <w:sz w:val="26"/>
          <w:szCs w:val="26"/>
          <w:lang w:val="ru-RU"/>
        </w:rPr>
        <w:t xml:space="preserve"> товара, работы, услуги установленным заказчиком требованиям. При этом указываются </w:t>
      </w:r>
      <w:r w:rsidR="0013177E">
        <w:rPr>
          <w:sz w:val="26"/>
          <w:szCs w:val="26"/>
          <w:lang w:val="ru-RU"/>
        </w:rPr>
        <w:lastRenderedPageBreak/>
        <w:t>максимальные и (или) минимальные значения таких показателей, а также значения показателей, которые не могут изменяться.</w:t>
      </w:r>
    </w:p>
    <w:p w:rsidR="00AF30F0" w:rsidRDefault="003C62F8" w:rsidP="00AF30F0">
      <w:pPr>
        <w:suppressAutoHyphens w:val="0"/>
        <w:ind w:firstLine="709"/>
        <w:jc w:val="both"/>
        <w:rPr>
          <w:sz w:val="26"/>
          <w:szCs w:val="26"/>
          <w:lang w:val="ru-RU"/>
        </w:rPr>
      </w:pPr>
      <w:r w:rsidRPr="003C62F8">
        <w:rPr>
          <w:sz w:val="26"/>
          <w:szCs w:val="26"/>
          <w:lang w:val="ru-RU"/>
        </w:rPr>
        <w:t xml:space="preserve">В соответствии с пунктом 2 части 1 статьи 64 Закона о контрактной системе </w:t>
      </w:r>
      <w:proofErr w:type="gramStart"/>
      <w:r w:rsidRPr="003C62F8">
        <w:rPr>
          <w:sz w:val="26"/>
          <w:szCs w:val="26"/>
          <w:lang w:val="ru-RU"/>
        </w:rPr>
        <w:t>документация</w:t>
      </w:r>
      <w:proofErr w:type="gramEnd"/>
      <w:r w:rsidRPr="003C62F8">
        <w:rPr>
          <w:sz w:val="26"/>
          <w:szCs w:val="26"/>
          <w:lang w:val="ru-RU"/>
        </w:rPr>
        <w:t xml:space="preserve"> об электронном аукционе наряду с информацией, указанной в извещении о проведении такого аукциона, должна содержать следующую информацию: требования к содержанию, составу заявки на участие в таком аукционе в соответствии с частями 3 - 6 статьи 66 настоящего Федерального закона и инструкция по ее заполнению.</w:t>
      </w:r>
    </w:p>
    <w:p w:rsidR="00BE226F" w:rsidRDefault="00BE226F" w:rsidP="00BE2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</w:t>
      </w:r>
      <w:r w:rsidR="00AF30F0" w:rsidRPr="00AF30F0">
        <w:rPr>
          <w:sz w:val="26"/>
          <w:szCs w:val="26"/>
          <w:lang w:val="ru-RU"/>
        </w:rPr>
        <w:t xml:space="preserve">Согласно подпункту </w:t>
      </w:r>
      <w:r w:rsidR="007C72E2">
        <w:rPr>
          <w:sz w:val="26"/>
          <w:szCs w:val="26"/>
          <w:lang w:val="ru-RU"/>
        </w:rPr>
        <w:t xml:space="preserve"> пункта 2 части 3</w:t>
      </w:r>
      <w:r w:rsidR="00AF30F0" w:rsidRPr="00AF30F0">
        <w:rPr>
          <w:sz w:val="26"/>
          <w:szCs w:val="26"/>
          <w:lang w:val="ru-RU"/>
        </w:rPr>
        <w:t xml:space="preserve"> статьи 66 Закона о контрактной системе </w:t>
      </w:r>
      <w:r w:rsidR="007C72E2">
        <w:rPr>
          <w:rFonts w:cs="Times New Roman"/>
          <w:color w:val="auto"/>
          <w:sz w:val="26"/>
          <w:szCs w:val="26"/>
          <w:lang w:val="ru-RU"/>
        </w:rPr>
        <w:t>первая часть заявки на участие в электронном аукционе должна содержать: при осуществлении закупки товара или закупки работы, услуги, для выполнения, оказания которых используется товар:</w:t>
      </w:r>
    </w:p>
    <w:p w:rsidR="00BE226F" w:rsidRDefault="00BE226F" w:rsidP="00BE2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sz w:val="26"/>
          <w:szCs w:val="26"/>
          <w:lang w:val="ru-RU"/>
        </w:rPr>
      </w:pPr>
      <w:r>
        <w:rPr>
          <w:rFonts w:cs="Times New Roman"/>
          <w:color w:val="auto"/>
          <w:sz w:val="26"/>
          <w:szCs w:val="26"/>
          <w:lang w:val="ru-RU"/>
        </w:rPr>
        <w:t xml:space="preserve">         </w:t>
      </w:r>
      <w:r w:rsidR="007C72E2">
        <w:rPr>
          <w:rFonts w:cs="Times New Roman"/>
          <w:color w:val="auto"/>
          <w:sz w:val="26"/>
          <w:szCs w:val="26"/>
          <w:lang w:val="ru-RU"/>
        </w:rPr>
        <w:t xml:space="preserve">а) наименование страны происхождения товара (в случае установления заказчиком в извещении о проведении электронного аукциона, документации об электронном аукционе условий, запретов, ограничений допуска товаров, происходящих из иностранного государства или группы иностранных государств, в соответствии со </w:t>
      </w:r>
      <w:hyperlink r:id="rId7" w:history="1">
        <w:r w:rsidR="007C72E2" w:rsidRPr="007C72E2">
          <w:rPr>
            <w:rFonts w:cs="Times New Roman"/>
            <w:color w:val="000000" w:themeColor="text1"/>
            <w:sz w:val="26"/>
            <w:szCs w:val="26"/>
            <w:lang w:val="ru-RU"/>
          </w:rPr>
          <w:t>статьей 14</w:t>
        </w:r>
      </w:hyperlink>
      <w:r w:rsidR="007C72E2" w:rsidRPr="007C72E2">
        <w:rPr>
          <w:rFonts w:cs="Times New Roman"/>
          <w:color w:val="000000" w:themeColor="text1"/>
          <w:sz w:val="26"/>
          <w:szCs w:val="26"/>
          <w:lang w:val="ru-RU"/>
        </w:rPr>
        <w:t xml:space="preserve"> </w:t>
      </w:r>
      <w:r w:rsidR="007C72E2">
        <w:rPr>
          <w:rFonts w:cs="Times New Roman"/>
          <w:color w:val="auto"/>
          <w:sz w:val="26"/>
          <w:szCs w:val="26"/>
          <w:lang w:val="ru-RU"/>
        </w:rPr>
        <w:t>настоящего Федерального закона);</w:t>
      </w:r>
    </w:p>
    <w:p w:rsidR="007C72E2" w:rsidRDefault="00BE226F" w:rsidP="00BE2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sz w:val="26"/>
          <w:szCs w:val="26"/>
          <w:lang w:val="ru-RU"/>
        </w:rPr>
      </w:pPr>
      <w:r>
        <w:rPr>
          <w:rFonts w:cs="Times New Roman"/>
          <w:color w:val="auto"/>
          <w:sz w:val="26"/>
          <w:szCs w:val="26"/>
          <w:lang w:val="ru-RU"/>
        </w:rPr>
        <w:t xml:space="preserve">          </w:t>
      </w:r>
      <w:r w:rsidR="007C72E2">
        <w:rPr>
          <w:rFonts w:cs="Times New Roman"/>
          <w:color w:val="auto"/>
          <w:sz w:val="26"/>
          <w:szCs w:val="26"/>
          <w:lang w:val="ru-RU"/>
        </w:rPr>
        <w:t>б)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FB055B" w:rsidRPr="00FB055B" w:rsidRDefault="007C72E2" w:rsidP="007C72E2">
      <w:pPr>
        <w:suppressAutoHyphens w:val="0"/>
        <w:jc w:val="both"/>
        <w:rPr>
          <w:sz w:val="26"/>
          <w:szCs w:val="26"/>
          <w:lang w:val="ru-RU"/>
        </w:rPr>
      </w:pPr>
      <w:r>
        <w:rPr>
          <w:rFonts w:cs="Times New Roman"/>
          <w:color w:val="auto"/>
          <w:sz w:val="26"/>
          <w:szCs w:val="26"/>
          <w:lang w:val="ru-RU"/>
        </w:rPr>
        <w:t xml:space="preserve">           </w:t>
      </w:r>
      <w:r w:rsidR="00FB055B">
        <w:rPr>
          <w:sz w:val="26"/>
          <w:szCs w:val="26"/>
          <w:lang w:val="ru-RU"/>
        </w:rPr>
        <w:t>В соответствии с частью</w:t>
      </w:r>
      <w:r w:rsidR="00FB055B" w:rsidRPr="00FB055B">
        <w:rPr>
          <w:sz w:val="26"/>
          <w:szCs w:val="26"/>
          <w:lang w:val="ru-RU"/>
        </w:rPr>
        <w:t xml:space="preserve"> 1 статьи 67 Закона о контрактной системе аукционная комиссия проверяет первые части заявок на участие в электронном аукционе, содержащие информацию, предусмотренную частью 3 статьи 66 настоящего Федерального закона, на соответствие требованиям, установленным документацией о таком аукционе в отношении закупаемых товаров, работ, услуг.</w:t>
      </w:r>
    </w:p>
    <w:p w:rsidR="00FB055B" w:rsidRPr="00FB055B" w:rsidRDefault="00FB055B" w:rsidP="00FB055B">
      <w:pPr>
        <w:suppressAutoHyphens w:val="0"/>
        <w:ind w:firstLine="709"/>
        <w:jc w:val="both"/>
        <w:rPr>
          <w:sz w:val="26"/>
          <w:szCs w:val="26"/>
          <w:lang w:val="ru-RU"/>
        </w:rPr>
      </w:pPr>
      <w:proofErr w:type="gramStart"/>
      <w:r w:rsidRPr="00FB055B">
        <w:rPr>
          <w:sz w:val="26"/>
          <w:szCs w:val="26"/>
          <w:lang w:val="ru-RU"/>
        </w:rPr>
        <w:t>Частью 3 статьи 67 Закона о контрактной системе определено, что по результатам рассмотрения первых частей заявок на участие в электронном аукционе, содержащих информацию, предусмотренную частью 3 статьи 66 настоящего Федерального закона, аукционная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</w:t>
      </w:r>
      <w:proofErr w:type="gramEnd"/>
      <w:r w:rsidRPr="00FB055B">
        <w:rPr>
          <w:sz w:val="26"/>
          <w:szCs w:val="26"/>
          <w:lang w:val="ru-RU"/>
        </w:rPr>
        <w:t xml:space="preserve"> </w:t>
      </w:r>
      <w:proofErr w:type="gramStart"/>
      <w:r w:rsidRPr="00FB055B">
        <w:rPr>
          <w:sz w:val="26"/>
          <w:szCs w:val="26"/>
          <w:lang w:val="ru-RU"/>
        </w:rPr>
        <w:t>отказе</w:t>
      </w:r>
      <w:proofErr w:type="gramEnd"/>
      <w:r w:rsidRPr="00FB055B">
        <w:rPr>
          <w:sz w:val="26"/>
          <w:szCs w:val="26"/>
          <w:lang w:val="ru-RU"/>
        </w:rPr>
        <w:t xml:space="preserve"> в допуске к участию в таком аукционе в порядке и по основаниям, которые предусмотрены частью 4 настоящей статьи.</w:t>
      </w:r>
    </w:p>
    <w:p w:rsidR="00FB055B" w:rsidRDefault="00FB055B" w:rsidP="00FB055B">
      <w:pPr>
        <w:suppressAutoHyphens w:val="0"/>
        <w:ind w:firstLine="709"/>
        <w:jc w:val="both"/>
        <w:rPr>
          <w:sz w:val="26"/>
          <w:szCs w:val="26"/>
          <w:lang w:val="ru-RU"/>
        </w:rPr>
      </w:pPr>
      <w:r w:rsidRPr="00FB055B">
        <w:rPr>
          <w:sz w:val="26"/>
          <w:szCs w:val="26"/>
          <w:lang w:val="ru-RU"/>
        </w:rPr>
        <w:t xml:space="preserve">Согласно части 4 статьи 67 Закона о контрактной участник электронного аукциона не допускается к участию в нем в случае </w:t>
      </w:r>
      <w:proofErr w:type="spellStart"/>
      <w:r w:rsidRPr="00FB055B">
        <w:rPr>
          <w:sz w:val="26"/>
          <w:szCs w:val="26"/>
          <w:lang w:val="ru-RU"/>
        </w:rPr>
        <w:t>непредоставления</w:t>
      </w:r>
      <w:proofErr w:type="spellEnd"/>
      <w:r w:rsidRPr="00FB055B">
        <w:rPr>
          <w:sz w:val="26"/>
          <w:szCs w:val="26"/>
          <w:lang w:val="ru-RU"/>
        </w:rPr>
        <w:t xml:space="preserve"> информации, предусмотренной частью 3 статьи 66 настоящего Федерального закона, или предоставления недостоверной информации, несоответствия информации, предусмотренной частью 3 статьи 66 настоящего Федерального закона, требованиям документации о таком аукционе.</w:t>
      </w:r>
    </w:p>
    <w:p w:rsidR="00FB055B" w:rsidRDefault="00FB055B" w:rsidP="00FB055B">
      <w:pPr>
        <w:suppressAutoHyphens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соответствии с частью</w:t>
      </w:r>
      <w:r w:rsidRPr="00FB055B">
        <w:rPr>
          <w:sz w:val="26"/>
          <w:szCs w:val="26"/>
          <w:lang w:val="ru-RU"/>
        </w:rPr>
        <w:t xml:space="preserve"> 5 статьи 67 Закона </w:t>
      </w:r>
      <w:proofErr w:type="gramStart"/>
      <w:r w:rsidRPr="00FB055B">
        <w:rPr>
          <w:sz w:val="26"/>
          <w:szCs w:val="26"/>
          <w:lang w:val="ru-RU"/>
        </w:rPr>
        <w:t>о контрактной системе отказ в допуске к участию в электронном аукционе по основаниям</w:t>
      </w:r>
      <w:proofErr w:type="gramEnd"/>
      <w:r w:rsidRPr="00FB055B">
        <w:rPr>
          <w:sz w:val="26"/>
          <w:szCs w:val="26"/>
          <w:lang w:val="ru-RU"/>
        </w:rPr>
        <w:t>, не предусмотренным частью 4 настоящей статьи, не допускается.</w:t>
      </w:r>
    </w:p>
    <w:p w:rsidR="002A0285" w:rsidRPr="00A04990" w:rsidRDefault="005B5A08" w:rsidP="003E4155">
      <w:pPr>
        <w:suppressAutoHyphens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</w:t>
      </w:r>
      <w:r w:rsidR="0013177E">
        <w:rPr>
          <w:sz w:val="26"/>
          <w:szCs w:val="26"/>
          <w:lang w:val="ru-RU"/>
        </w:rPr>
        <w:t>аявке</w:t>
      </w:r>
      <w:r w:rsidR="00A961BF">
        <w:rPr>
          <w:sz w:val="26"/>
          <w:szCs w:val="26"/>
          <w:lang w:val="ru-RU"/>
        </w:rPr>
        <w:t xml:space="preserve"> </w:t>
      </w:r>
      <w:r w:rsidR="00A04990">
        <w:rPr>
          <w:sz w:val="26"/>
          <w:szCs w:val="26"/>
          <w:lang w:val="ru-RU"/>
        </w:rPr>
        <w:t xml:space="preserve">Заявителя </w:t>
      </w:r>
      <w:r>
        <w:rPr>
          <w:sz w:val="26"/>
          <w:szCs w:val="26"/>
          <w:lang w:val="ru-RU"/>
        </w:rPr>
        <w:t xml:space="preserve">отказано в </w:t>
      </w:r>
      <w:r w:rsidR="0086067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допуске к</w:t>
      </w:r>
      <w:r w:rsidR="0086067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участию </w:t>
      </w:r>
      <w:r w:rsidR="00860675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>в</w:t>
      </w:r>
      <w:r w:rsidR="00566EDB">
        <w:rPr>
          <w:sz w:val="26"/>
          <w:szCs w:val="26"/>
          <w:lang w:val="ru-RU"/>
        </w:rPr>
        <w:t xml:space="preserve"> </w:t>
      </w:r>
      <w:r w:rsidR="0013177E">
        <w:rPr>
          <w:sz w:val="26"/>
          <w:szCs w:val="26"/>
          <w:lang w:val="ru-RU"/>
        </w:rPr>
        <w:t>электронном аукционе по</w:t>
      </w:r>
      <w:r>
        <w:rPr>
          <w:sz w:val="26"/>
          <w:szCs w:val="26"/>
          <w:lang w:val="ru-RU"/>
        </w:rPr>
        <w:t xml:space="preserve"> </w:t>
      </w:r>
      <w:r w:rsidR="00A165A4">
        <w:rPr>
          <w:sz w:val="26"/>
          <w:szCs w:val="26"/>
          <w:lang w:val="ru-RU"/>
        </w:rPr>
        <w:t>основанию,</w:t>
      </w:r>
      <w:r w:rsidR="0013177E">
        <w:rPr>
          <w:sz w:val="26"/>
          <w:szCs w:val="26"/>
          <w:lang w:val="ru-RU"/>
        </w:rPr>
        <w:t xml:space="preserve"> указанному в </w:t>
      </w:r>
      <w:r w:rsidR="006F3D48">
        <w:rPr>
          <w:sz w:val="26"/>
          <w:szCs w:val="26"/>
          <w:lang w:val="ru-RU"/>
        </w:rPr>
        <w:t xml:space="preserve"> </w:t>
      </w:r>
      <w:r w:rsidR="003E4155" w:rsidRPr="003E4155">
        <w:rPr>
          <w:sz w:val="26"/>
          <w:szCs w:val="26"/>
          <w:lang w:val="ru-RU"/>
        </w:rPr>
        <w:t>Протокол</w:t>
      </w:r>
      <w:r w:rsidR="003E4155">
        <w:rPr>
          <w:sz w:val="26"/>
          <w:szCs w:val="26"/>
          <w:lang w:val="ru-RU"/>
        </w:rPr>
        <w:t>е</w:t>
      </w:r>
      <w:r w:rsidR="003E4155" w:rsidRPr="003E4155">
        <w:rPr>
          <w:sz w:val="26"/>
          <w:szCs w:val="26"/>
          <w:lang w:val="ru-RU"/>
        </w:rPr>
        <w:t xml:space="preserve"> рассмотрения заявок на</w:t>
      </w:r>
      <w:r w:rsidR="006720FB">
        <w:rPr>
          <w:sz w:val="26"/>
          <w:szCs w:val="26"/>
          <w:lang w:val="ru-RU"/>
        </w:rPr>
        <w:t xml:space="preserve"> участие в электронном аукционе.</w:t>
      </w:r>
    </w:p>
    <w:p w:rsidR="002D44C5" w:rsidRDefault="0013177E" w:rsidP="00854CCF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val="ru-RU"/>
        </w:rPr>
      </w:pPr>
      <w:bookmarkStart w:id="0" w:name="_GoBack"/>
      <w:bookmarkEnd w:id="0"/>
      <w:r w:rsidRPr="005366C0">
        <w:rPr>
          <w:rFonts w:cs="Times New Roman"/>
          <w:sz w:val="26"/>
          <w:szCs w:val="26"/>
          <w:lang w:val="ru-RU"/>
        </w:rPr>
        <w:lastRenderedPageBreak/>
        <w:t xml:space="preserve">Комиссией Самарского УФАС России установлено, что </w:t>
      </w:r>
      <w:r w:rsidR="00A04990" w:rsidRPr="005366C0">
        <w:rPr>
          <w:rFonts w:cs="Times New Roman"/>
          <w:sz w:val="26"/>
          <w:szCs w:val="26"/>
          <w:lang w:val="ru-RU"/>
        </w:rPr>
        <w:t xml:space="preserve">Заявителю </w:t>
      </w:r>
      <w:r w:rsidRPr="005366C0">
        <w:rPr>
          <w:rFonts w:cs="Times New Roman"/>
          <w:sz w:val="26"/>
          <w:szCs w:val="26"/>
          <w:lang w:val="ru-RU"/>
        </w:rPr>
        <w:t>отказано в допуске к участию в электронном аукционе</w:t>
      </w:r>
      <w:r w:rsidR="00CF6E75" w:rsidRPr="005366C0">
        <w:rPr>
          <w:rFonts w:cs="Times New Roman"/>
          <w:sz w:val="26"/>
          <w:szCs w:val="26"/>
          <w:lang w:val="ru-RU"/>
        </w:rPr>
        <w:t xml:space="preserve"> </w:t>
      </w:r>
      <w:r w:rsidR="004F51B2" w:rsidRPr="005366C0">
        <w:rPr>
          <w:rFonts w:cs="Times New Roman"/>
          <w:sz w:val="26"/>
          <w:szCs w:val="26"/>
          <w:lang w:val="ru-RU"/>
        </w:rPr>
        <w:t xml:space="preserve">п.2 ч.4 ст.67 Закона о контрактной системе </w:t>
      </w:r>
      <w:proofErr w:type="gramStart"/>
      <w:r w:rsidR="004F51B2" w:rsidRPr="005366C0">
        <w:rPr>
          <w:rFonts w:cs="Times New Roman"/>
          <w:sz w:val="26"/>
          <w:szCs w:val="26"/>
          <w:lang w:val="ru-RU"/>
        </w:rPr>
        <w:t>–н</w:t>
      </w:r>
      <w:proofErr w:type="gramEnd"/>
      <w:r w:rsidR="004F51B2" w:rsidRPr="005366C0">
        <w:rPr>
          <w:rFonts w:cs="Times New Roman"/>
          <w:sz w:val="26"/>
          <w:szCs w:val="26"/>
          <w:lang w:val="ru-RU"/>
        </w:rPr>
        <w:t>есоответствие информации требо</w:t>
      </w:r>
      <w:r w:rsidR="005366C0" w:rsidRPr="005366C0">
        <w:rPr>
          <w:rFonts w:cs="Times New Roman"/>
          <w:sz w:val="26"/>
          <w:szCs w:val="26"/>
          <w:lang w:val="ru-RU"/>
        </w:rPr>
        <w:t>ваниям документации об аукционе.</w:t>
      </w:r>
    </w:p>
    <w:p w:rsidR="00BC6DA9" w:rsidRDefault="00BE226F" w:rsidP="00BC6DA9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val="ru-RU"/>
        </w:rPr>
      </w:pPr>
      <w:r w:rsidRPr="00BE226F">
        <w:rPr>
          <w:rFonts w:cs="Times New Roman"/>
          <w:sz w:val="26"/>
          <w:szCs w:val="26"/>
          <w:lang w:val="ru-RU"/>
        </w:rPr>
        <w:t xml:space="preserve">           </w:t>
      </w:r>
      <w:r w:rsidR="002D44C5" w:rsidRPr="00BE226F">
        <w:rPr>
          <w:rFonts w:cs="Times New Roman"/>
          <w:sz w:val="26"/>
          <w:szCs w:val="26"/>
          <w:lang w:val="ru-RU"/>
        </w:rPr>
        <w:t>В</w:t>
      </w:r>
      <w:r w:rsidRPr="00BE226F">
        <w:rPr>
          <w:rFonts w:cs="Times New Roman"/>
          <w:sz w:val="26"/>
          <w:szCs w:val="26"/>
          <w:lang w:val="ru-RU"/>
        </w:rPr>
        <w:t xml:space="preserve"> </w:t>
      </w:r>
      <w:r w:rsidR="002D44C5" w:rsidRPr="00BE226F">
        <w:rPr>
          <w:rFonts w:cs="Times New Roman"/>
          <w:sz w:val="26"/>
          <w:szCs w:val="26"/>
          <w:lang w:val="ru-RU"/>
        </w:rPr>
        <w:t xml:space="preserve"> соответствии с п.2 ч.4 ст.67 Федерального закона №44-ФЗ, а именно несоответствие требованиям установленным докуме</w:t>
      </w:r>
      <w:r w:rsidR="007C72E2" w:rsidRPr="00BE226F">
        <w:rPr>
          <w:rFonts w:cs="Times New Roman"/>
          <w:sz w:val="26"/>
          <w:szCs w:val="26"/>
          <w:lang w:val="ru-RU"/>
        </w:rPr>
        <w:t>нтацией об электронном аукционе:</w:t>
      </w:r>
      <w:r w:rsidR="005366C0" w:rsidRPr="00BE226F">
        <w:rPr>
          <w:rFonts w:cs="Times New Roman"/>
          <w:sz w:val="26"/>
          <w:szCs w:val="26"/>
          <w:lang w:val="ru-RU"/>
        </w:rPr>
        <w:t xml:space="preserve"> </w:t>
      </w:r>
      <w:r w:rsidR="007C72E2" w:rsidRPr="00BE226F">
        <w:rPr>
          <w:rFonts w:cs="Times New Roman"/>
          <w:sz w:val="26"/>
          <w:szCs w:val="26"/>
          <w:lang w:val="ru-RU"/>
        </w:rPr>
        <w:t xml:space="preserve"> </w:t>
      </w:r>
      <w:r w:rsidRPr="00BE226F">
        <w:rPr>
          <w:sz w:val="26"/>
          <w:szCs w:val="26"/>
          <w:lang w:val="ru-RU"/>
        </w:rPr>
        <w:t xml:space="preserve">Причина несоответствия: </w:t>
      </w:r>
    </w:p>
    <w:p w:rsidR="00BC6DA9" w:rsidRDefault="00BC6DA9" w:rsidP="00BC6DA9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          </w:t>
      </w:r>
      <w:r w:rsidRPr="00BC6DA9">
        <w:rPr>
          <w:rFonts w:cs="Times New Roman"/>
          <w:sz w:val="26"/>
          <w:szCs w:val="26"/>
          <w:lang w:val="ru-RU"/>
        </w:rPr>
        <w:t xml:space="preserve">В пункте 17 заявки «Винты самонарезающие» участником не представлен конкретный показатель головки, предусмотренный в аукционной документации (в Приложении №1 к ТЗ установлен следующий диапазон значений показателя «с </w:t>
      </w:r>
      <w:proofErr w:type="spellStart"/>
      <w:proofErr w:type="gramStart"/>
      <w:r w:rsidRPr="00BC6DA9">
        <w:rPr>
          <w:rFonts w:cs="Times New Roman"/>
          <w:sz w:val="26"/>
          <w:szCs w:val="26"/>
          <w:lang w:val="ru-RU"/>
        </w:rPr>
        <w:t>шести-восьмигранной</w:t>
      </w:r>
      <w:proofErr w:type="spellEnd"/>
      <w:proofErr w:type="gramEnd"/>
      <w:r w:rsidRPr="00BC6DA9">
        <w:rPr>
          <w:rFonts w:cs="Times New Roman"/>
          <w:sz w:val="26"/>
          <w:szCs w:val="26"/>
          <w:lang w:val="ru-RU"/>
        </w:rPr>
        <w:t xml:space="preserve"> головкой», в заявке указано «с </w:t>
      </w:r>
      <w:proofErr w:type="spellStart"/>
      <w:r w:rsidRPr="00BC6DA9">
        <w:rPr>
          <w:rFonts w:cs="Times New Roman"/>
          <w:sz w:val="26"/>
          <w:szCs w:val="26"/>
          <w:lang w:val="ru-RU"/>
        </w:rPr>
        <w:t>шести-восьмигранной</w:t>
      </w:r>
      <w:proofErr w:type="spellEnd"/>
      <w:r w:rsidRPr="00BC6DA9">
        <w:rPr>
          <w:rFonts w:cs="Times New Roman"/>
          <w:sz w:val="26"/>
          <w:szCs w:val="26"/>
          <w:lang w:val="ru-RU"/>
        </w:rPr>
        <w:t xml:space="preserve"> головкой»). Согласно инструкции по заполнению заявки если требуемое значение показателя сопровождается знаком </w:t>
      </w:r>
      <w:proofErr w:type="gramStart"/>
      <w:r w:rsidRPr="00BC6DA9">
        <w:rPr>
          <w:rFonts w:cs="Times New Roman"/>
          <w:sz w:val="26"/>
          <w:szCs w:val="26"/>
          <w:lang w:val="ru-RU"/>
        </w:rPr>
        <w:t>«-</w:t>
      </w:r>
      <w:proofErr w:type="gramEnd"/>
      <w:r w:rsidRPr="00BC6DA9">
        <w:rPr>
          <w:rFonts w:cs="Times New Roman"/>
          <w:sz w:val="26"/>
          <w:szCs w:val="26"/>
          <w:lang w:val="ru-RU"/>
        </w:rPr>
        <w:t>» необходимо указать конкретное значение показателя включая граничные значения.</w:t>
      </w:r>
    </w:p>
    <w:p w:rsidR="00BC6DA9" w:rsidRPr="00BC6DA9" w:rsidRDefault="00BC6DA9" w:rsidP="00BC6DA9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          </w:t>
      </w:r>
      <w:r w:rsidRPr="00BC6DA9">
        <w:rPr>
          <w:rFonts w:cs="Times New Roman"/>
          <w:sz w:val="26"/>
          <w:szCs w:val="26"/>
          <w:lang w:val="ru-RU"/>
        </w:rPr>
        <w:t xml:space="preserve">В пункте 22 «Пиломатериалы, тип 3» заявки участника написано «толщиной 44 мм…Предельные отклонения, мм: по толщине ± 3». Представленные в заявке сведения противоречат ГОСТ 24454-80, устанавливающему требования к размерам пиломатериалов хвойных пород (в соответствии с ГОСТ 24454-80 для пиломатериалов толщиной от 40 до 100 мм </w:t>
      </w:r>
      <w:proofErr w:type="spellStart"/>
      <w:r w:rsidRPr="00BC6DA9">
        <w:rPr>
          <w:rFonts w:cs="Times New Roman"/>
          <w:sz w:val="26"/>
          <w:szCs w:val="26"/>
          <w:lang w:val="ru-RU"/>
        </w:rPr>
        <w:t>включ</w:t>
      </w:r>
      <w:proofErr w:type="spellEnd"/>
      <w:r w:rsidRPr="00BC6DA9">
        <w:rPr>
          <w:rFonts w:cs="Times New Roman"/>
          <w:sz w:val="26"/>
          <w:szCs w:val="26"/>
          <w:lang w:val="ru-RU"/>
        </w:rPr>
        <w:t>. предельные отклонения по толщине не должны превышать ± 2 мм), следовательно, являются недостоверными.</w:t>
      </w:r>
    </w:p>
    <w:p w:rsidR="00860675" w:rsidRDefault="00BE226F" w:rsidP="00A64E8F">
      <w:pPr>
        <w:jc w:val="both"/>
        <w:rPr>
          <w:rFonts w:cs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</w:t>
      </w:r>
      <w:proofErr w:type="gramStart"/>
      <w:r w:rsidR="00015969" w:rsidRPr="006F3D48">
        <w:rPr>
          <w:rFonts w:cs="Times New Roman"/>
          <w:sz w:val="26"/>
          <w:szCs w:val="26"/>
          <w:lang w:val="ru-RU"/>
        </w:rPr>
        <w:t>Доводы З</w:t>
      </w:r>
      <w:r w:rsidR="00860675" w:rsidRPr="006F3D48">
        <w:rPr>
          <w:rFonts w:cs="Times New Roman"/>
          <w:sz w:val="26"/>
          <w:szCs w:val="26"/>
          <w:lang w:val="ru-RU"/>
        </w:rPr>
        <w:t xml:space="preserve">аявителя в отношении неправомерного отказа в допуске к участию в электронном аукционе проверены Комиссией Самарского УФАС России в полном объеме, указанная </w:t>
      </w:r>
      <w:r w:rsidR="00665BB5" w:rsidRPr="006F3D48">
        <w:rPr>
          <w:rFonts w:cs="Times New Roman"/>
          <w:sz w:val="26"/>
          <w:szCs w:val="26"/>
          <w:lang w:val="ru-RU"/>
        </w:rPr>
        <w:t>в</w:t>
      </w:r>
      <w:r w:rsidR="00C85978" w:rsidRPr="006F3D48">
        <w:rPr>
          <w:rFonts w:cs="Times New Roman"/>
          <w:sz w:val="26"/>
          <w:szCs w:val="26"/>
          <w:lang w:val="ru-RU"/>
        </w:rPr>
        <w:t xml:space="preserve"> </w:t>
      </w:r>
      <w:r w:rsidR="006F3D48">
        <w:rPr>
          <w:rFonts w:cs="Times New Roman"/>
          <w:sz w:val="26"/>
          <w:szCs w:val="26"/>
          <w:lang w:val="ru-RU"/>
        </w:rPr>
        <w:t xml:space="preserve"> </w:t>
      </w:r>
      <w:r w:rsidR="003E4155" w:rsidRPr="003E4155">
        <w:rPr>
          <w:sz w:val="26"/>
          <w:szCs w:val="26"/>
          <w:lang w:val="ru-RU"/>
        </w:rPr>
        <w:t>Протокол</w:t>
      </w:r>
      <w:r w:rsidR="003E4155">
        <w:rPr>
          <w:sz w:val="26"/>
          <w:szCs w:val="26"/>
          <w:lang w:val="ru-RU"/>
        </w:rPr>
        <w:t>е</w:t>
      </w:r>
      <w:r w:rsidR="003E4155" w:rsidRPr="003E4155">
        <w:rPr>
          <w:sz w:val="26"/>
          <w:szCs w:val="26"/>
          <w:lang w:val="ru-RU"/>
        </w:rPr>
        <w:t xml:space="preserve"> рассмотрения заявок на участие в электронном аукционе</w:t>
      </w:r>
      <w:r w:rsidR="00DD48ED">
        <w:rPr>
          <w:sz w:val="26"/>
          <w:szCs w:val="26"/>
          <w:lang w:val="ru-RU"/>
        </w:rPr>
        <w:t xml:space="preserve"> </w:t>
      </w:r>
      <w:r w:rsidR="00860675" w:rsidRPr="006F3D48">
        <w:rPr>
          <w:rFonts w:cs="Times New Roman"/>
          <w:sz w:val="26"/>
          <w:szCs w:val="26"/>
          <w:lang w:val="ru-RU"/>
        </w:rPr>
        <w:t>аргументация членов аукционной комиссии относительно мотивов отказа в допуске обоснована и соответствует действительности, в связи с чем, оснований для пересмотра решения аукционной комиссии нет.</w:t>
      </w:r>
      <w:proofErr w:type="gramEnd"/>
    </w:p>
    <w:p w:rsidR="00BC6DA9" w:rsidRPr="00BE226F" w:rsidRDefault="00BC6DA9" w:rsidP="00A64E8F">
      <w:pPr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          Запросов по обжалуемым положениям документации Заказчику не поступало.</w:t>
      </w:r>
    </w:p>
    <w:p w:rsidR="00CC35DE" w:rsidRDefault="0013177E" w:rsidP="00A64E8F">
      <w:pPr>
        <w:suppressAutoHyphens w:val="0"/>
        <w:ind w:firstLine="709"/>
        <w:jc w:val="both"/>
        <w:rPr>
          <w:sz w:val="26"/>
          <w:szCs w:val="26"/>
          <w:lang w:val="ru-RU"/>
        </w:rPr>
      </w:pPr>
      <w:r w:rsidRPr="006F3D48">
        <w:rPr>
          <w:rFonts w:cs="Times New Roman"/>
          <w:sz w:val="26"/>
          <w:szCs w:val="26"/>
          <w:lang w:val="ru-RU"/>
        </w:rPr>
        <w:t xml:space="preserve">Учитывая </w:t>
      </w:r>
      <w:proofErr w:type="gramStart"/>
      <w:r w:rsidR="00ED1F53" w:rsidRPr="006F3D48">
        <w:rPr>
          <w:rFonts w:cs="Times New Roman"/>
          <w:sz w:val="26"/>
          <w:szCs w:val="26"/>
          <w:lang w:val="ru-RU"/>
        </w:rPr>
        <w:t>выше</w:t>
      </w:r>
      <w:r w:rsidRPr="006F3D48">
        <w:rPr>
          <w:rFonts w:cs="Times New Roman"/>
          <w:sz w:val="26"/>
          <w:szCs w:val="26"/>
          <w:lang w:val="ru-RU"/>
        </w:rPr>
        <w:t>изложенное</w:t>
      </w:r>
      <w:proofErr w:type="gramEnd"/>
      <w:r w:rsidRPr="006F3D48">
        <w:rPr>
          <w:rFonts w:cs="Times New Roman"/>
          <w:sz w:val="26"/>
          <w:szCs w:val="26"/>
          <w:lang w:val="ru-RU"/>
        </w:rPr>
        <w:t>, аукционная комиссия</w:t>
      </w:r>
      <w:r>
        <w:rPr>
          <w:sz w:val="26"/>
          <w:szCs w:val="26"/>
          <w:lang w:val="ru-RU"/>
        </w:rPr>
        <w:t xml:space="preserve"> правомерно отклонила заявку</w:t>
      </w:r>
      <w:r w:rsidR="00FB055B">
        <w:rPr>
          <w:sz w:val="26"/>
          <w:szCs w:val="26"/>
          <w:lang w:val="ru-RU"/>
        </w:rPr>
        <w:t xml:space="preserve"> </w:t>
      </w:r>
    </w:p>
    <w:p w:rsidR="00A04990" w:rsidRPr="006F3D48" w:rsidRDefault="00A04990" w:rsidP="00A64E8F">
      <w:pPr>
        <w:pStyle w:val="ConsPlusNormal"/>
        <w:ind w:firstLine="0"/>
        <w:jc w:val="both"/>
        <w:rPr>
          <w:rFonts w:ascii="Times New Roman" w:eastAsia="Arial Unicode MS" w:hAnsi="Times New Roman" w:cs="Arial Unicode MS"/>
          <w:sz w:val="26"/>
          <w:szCs w:val="26"/>
        </w:rPr>
      </w:pPr>
      <w:r w:rsidRPr="006F3D48">
        <w:rPr>
          <w:rFonts w:ascii="Times New Roman" w:eastAsia="Arial Unicode MS" w:hAnsi="Times New Roman" w:cs="Arial Unicode MS"/>
          <w:sz w:val="26"/>
          <w:szCs w:val="26"/>
        </w:rPr>
        <w:t>Заявителя.</w:t>
      </w:r>
    </w:p>
    <w:p w:rsidR="00A6509D" w:rsidRPr="006F3D48" w:rsidRDefault="0013177E" w:rsidP="00A64E8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частью 8 статьи 106 Закона о контрактной системе, Комиссия Самарского УФАС России</w:t>
      </w:r>
    </w:p>
    <w:p w:rsidR="00A64E8F" w:rsidRDefault="00A64E8F" w:rsidP="00A64E8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15969" w:rsidRDefault="00A64E8F" w:rsidP="00A64E8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="0013177E">
        <w:rPr>
          <w:rFonts w:ascii="Times New Roman" w:hAnsi="Times New Roman"/>
          <w:sz w:val="26"/>
          <w:szCs w:val="26"/>
        </w:rPr>
        <w:t>РЕШИЛА:</w:t>
      </w:r>
    </w:p>
    <w:p w:rsidR="00A961BF" w:rsidRDefault="00A961BF" w:rsidP="00A64E8F">
      <w:pPr>
        <w:pStyle w:val="a7"/>
        <w:ind w:firstLine="0"/>
        <w:rPr>
          <w:sz w:val="26"/>
          <w:szCs w:val="26"/>
        </w:rPr>
      </w:pPr>
    </w:p>
    <w:p w:rsidR="00CC35DE" w:rsidRDefault="00566EDB" w:rsidP="00ED1F53">
      <w:pPr>
        <w:pStyle w:val="a7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3177E">
        <w:rPr>
          <w:sz w:val="26"/>
          <w:szCs w:val="26"/>
        </w:rPr>
        <w:t>Признать жалоб</w:t>
      </w:r>
      <w:proofErr w:type="gramStart"/>
      <w:r w:rsidR="0013177E">
        <w:rPr>
          <w:sz w:val="26"/>
          <w:szCs w:val="26"/>
        </w:rPr>
        <w:t xml:space="preserve">у </w:t>
      </w:r>
      <w:r w:rsidR="00582B7E" w:rsidRPr="00582B7E">
        <w:rPr>
          <w:sz w:val="26"/>
          <w:szCs w:val="26"/>
        </w:rPr>
        <w:t>ООО</w:t>
      </w:r>
      <w:proofErr w:type="gramEnd"/>
      <w:r w:rsidR="00582B7E" w:rsidRPr="00582B7E">
        <w:rPr>
          <w:sz w:val="26"/>
          <w:szCs w:val="26"/>
        </w:rPr>
        <w:t xml:space="preserve"> «</w:t>
      </w:r>
      <w:proofErr w:type="spellStart"/>
      <w:r w:rsidR="005366C0">
        <w:rPr>
          <w:sz w:val="26"/>
          <w:szCs w:val="26"/>
        </w:rPr>
        <w:t>Тольяттистрой</w:t>
      </w:r>
      <w:proofErr w:type="spellEnd"/>
      <w:r w:rsidR="00582B7E" w:rsidRPr="00582B7E">
        <w:rPr>
          <w:sz w:val="26"/>
          <w:szCs w:val="26"/>
        </w:rPr>
        <w:t>»</w:t>
      </w:r>
      <w:r w:rsidR="00582B7E">
        <w:rPr>
          <w:sz w:val="26"/>
          <w:szCs w:val="26"/>
        </w:rPr>
        <w:t xml:space="preserve"> </w:t>
      </w:r>
      <w:r w:rsidR="0013177E">
        <w:rPr>
          <w:sz w:val="26"/>
          <w:szCs w:val="26"/>
        </w:rPr>
        <w:t>необоснованной.</w:t>
      </w:r>
    </w:p>
    <w:p w:rsidR="003C62F8" w:rsidRDefault="0095755A" w:rsidP="007325F3">
      <w:pPr>
        <w:pStyle w:val="a7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2</w:t>
      </w:r>
      <w:r w:rsidR="00566EDB">
        <w:rPr>
          <w:sz w:val="26"/>
          <w:szCs w:val="26"/>
        </w:rPr>
        <w:t>. Оператору электронной площадки снять ограничение на подписание контракта Заказчиком.</w:t>
      </w:r>
    </w:p>
    <w:p w:rsidR="007325F3" w:rsidRDefault="007325F3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35DE" w:rsidRDefault="0013177E" w:rsidP="003E4155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решение может быть обжаловано в судебном порядке в течение трех месяцев со дня его принятия.</w:t>
      </w:r>
    </w:p>
    <w:p w:rsidR="003E4155" w:rsidRDefault="003E4155" w:rsidP="003E4155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35DE" w:rsidRDefault="00CC35DE">
      <w:pPr>
        <w:pStyle w:val="ConsPlusNormal"/>
        <w:tabs>
          <w:tab w:val="left" w:pos="7740"/>
        </w:tabs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sectPr w:rsidR="00CC35DE" w:rsidSect="00CC35D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851" w:bottom="1418" w:left="1134" w:header="0" w:footer="26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F3A" w:rsidRDefault="00FE2F3A" w:rsidP="00CC35DE">
      <w:r>
        <w:separator/>
      </w:r>
    </w:p>
  </w:endnote>
  <w:endnote w:type="continuationSeparator" w:id="0">
    <w:p w:rsidR="00FE2F3A" w:rsidRDefault="00FE2F3A" w:rsidP="00CC3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F3A" w:rsidRDefault="00FE2F3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F3A" w:rsidRDefault="00FE2F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F3A" w:rsidRDefault="00FE2F3A" w:rsidP="00CC35DE">
      <w:r>
        <w:separator/>
      </w:r>
    </w:p>
  </w:footnote>
  <w:footnote w:type="continuationSeparator" w:id="0">
    <w:p w:rsidR="00FE2F3A" w:rsidRDefault="00FE2F3A" w:rsidP="00CC3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F3A" w:rsidRDefault="00FE2F3A">
    <w:pPr>
      <w:pStyle w:val="a5"/>
      <w:jc w:val="center"/>
      <w:rPr>
        <w:lang w:val="ru-RU"/>
      </w:rPr>
    </w:pPr>
  </w:p>
  <w:p w:rsidR="00FE2F3A" w:rsidRDefault="00B161CA">
    <w:pPr>
      <w:pStyle w:val="a5"/>
      <w:jc w:val="center"/>
    </w:pPr>
    <w:fldSimple w:instr=" PAGE ">
      <w:r w:rsidR="006D4998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F3A" w:rsidRDefault="00FE2F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04938"/>
    <w:multiLevelType w:val="hybridMultilevel"/>
    <w:tmpl w:val="D0B897FC"/>
    <w:numStyleLink w:val="a"/>
  </w:abstractNum>
  <w:abstractNum w:abstractNumId="1">
    <w:nsid w:val="476B2494"/>
    <w:multiLevelType w:val="hybridMultilevel"/>
    <w:tmpl w:val="D0B897FC"/>
    <w:styleLink w:val="a"/>
    <w:lvl w:ilvl="0" w:tplc="47FE47FC">
      <w:start w:val="1"/>
      <w:numFmt w:val="decimal"/>
      <w:lvlText w:val="%1."/>
      <w:lvlJc w:val="left"/>
      <w:pPr>
        <w:tabs>
          <w:tab w:val="num" w:pos="962"/>
        </w:tabs>
        <w:ind w:left="2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FCA104">
      <w:start w:val="1"/>
      <w:numFmt w:val="decimal"/>
      <w:lvlText w:val="%2."/>
      <w:lvlJc w:val="left"/>
      <w:pPr>
        <w:tabs>
          <w:tab w:val="num" w:pos="1762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240BF8">
      <w:start w:val="1"/>
      <w:numFmt w:val="decimal"/>
      <w:lvlText w:val="%3."/>
      <w:lvlJc w:val="left"/>
      <w:pPr>
        <w:tabs>
          <w:tab w:val="num" w:pos="2562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62CB72">
      <w:start w:val="1"/>
      <w:numFmt w:val="decimal"/>
      <w:lvlText w:val="%4."/>
      <w:lvlJc w:val="left"/>
      <w:pPr>
        <w:tabs>
          <w:tab w:val="num" w:pos="3362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08E2A6">
      <w:start w:val="1"/>
      <w:numFmt w:val="decimal"/>
      <w:lvlText w:val="%5."/>
      <w:lvlJc w:val="left"/>
      <w:pPr>
        <w:tabs>
          <w:tab w:val="num" w:pos="4162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70631C">
      <w:start w:val="1"/>
      <w:numFmt w:val="decimal"/>
      <w:lvlText w:val="%6."/>
      <w:lvlJc w:val="left"/>
      <w:pPr>
        <w:tabs>
          <w:tab w:val="num" w:pos="4962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D2331C">
      <w:start w:val="1"/>
      <w:numFmt w:val="decimal"/>
      <w:lvlText w:val="%7."/>
      <w:lvlJc w:val="left"/>
      <w:pPr>
        <w:tabs>
          <w:tab w:val="num" w:pos="5762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C667DA">
      <w:start w:val="1"/>
      <w:numFmt w:val="decimal"/>
      <w:lvlText w:val="%8."/>
      <w:lvlJc w:val="left"/>
      <w:pPr>
        <w:tabs>
          <w:tab w:val="num" w:pos="6562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D20D90">
      <w:start w:val="1"/>
      <w:numFmt w:val="decimal"/>
      <w:lvlText w:val="%9."/>
      <w:lvlJc w:val="left"/>
      <w:pPr>
        <w:tabs>
          <w:tab w:val="num" w:pos="7362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35DE"/>
    <w:rsid w:val="000061EE"/>
    <w:rsid w:val="000114E8"/>
    <w:rsid w:val="00015969"/>
    <w:rsid w:val="000209DD"/>
    <w:rsid w:val="0005152A"/>
    <w:rsid w:val="00064D8F"/>
    <w:rsid w:val="000A2295"/>
    <w:rsid w:val="000A294D"/>
    <w:rsid w:val="000A3D95"/>
    <w:rsid w:val="000C05AE"/>
    <w:rsid w:val="000D5ED4"/>
    <w:rsid w:val="000F50ED"/>
    <w:rsid w:val="0013177E"/>
    <w:rsid w:val="00132A66"/>
    <w:rsid w:val="001B25C7"/>
    <w:rsid w:val="001B6540"/>
    <w:rsid w:val="001C74DE"/>
    <w:rsid w:val="001F7CA9"/>
    <w:rsid w:val="00222798"/>
    <w:rsid w:val="00246A2F"/>
    <w:rsid w:val="002A0285"/>
    <w:rsid w:val="002D44C5"/>
    <w:rsid w:val="002D4918"/>
    <w:rsid w:val="00325EF9"/>
    <w:rsid w:val="00345602"/>
    <w:rsid w:val="00385F63"/>
    <w:rsid w:val="00387679"/>
    <w:rsid w:val="003967A1"/>
    <w:rsid w:val="003C62F8"/>
    <w:rsid w:val="003E1043"/>
    <w:rsid w:val="003E4155"/>
    <w:rsid w:val="00400164"/>
    <w:rsid w:val="00401982"/>
    <w:rsid w:val="0042121E"/>
    <w:rsid w:val="00473857"/>
    <w:rsid w:val="004835B4"/>
    <w:rsid w:val="0049017C"/>
    <w:rsid w:val="004C3706"/>
    <w:rsid w:val="004C4DA2"/>
    <w:rsid w:val="004D6D74"/>
    <w:rsid w:val="004F51B2"/>
    <w:rsid w:val="005366C0"/>
    <w:rsid w:val="00544DD2"/>
    <w:rsid w:val="00551A47"/>
    <w:rsid w:val="00566EDB"/>
    <w:rsid w:val="00571BC8"/>
    <w:rsid w:val="00582B7E"/>
    <w:rsid w:val="00584773"/>
    <w:rsid w:val="00587343"/>
    <w:rsid w:val="005B5A08"/>
    <w:rsid w:val="006305CF"/>
    <w:rsid w:val="00631693"/>
    <w:rsid w:val="00631F0C"/>
    <w:rsid w:val="00665BB5"/>
    <w:rsid w:val="006720FB"/>
    <w:rsid w:val="006B58C9"/>
    <w:rsid w:val="006D14EE"/>
    <w:rsid w:val="006D252A"/>
    <w:rsid w:val="006D4998"/>
    <w:rsid w:val="006E0A9C"/>
    <w:rsid w:val="006E2A33"/>
    <w:rsid w:val="006F1C77"/>
    <w:rsid w:val="006F3D48"/>
    <w:rsid w:val="007027B6"/>
    <w:rsid w:val="007156AE"/>
    <w:rsid w:val="0071690D"/>
    <w:rsid w:val="007325F3"/>
    <w:rsid w:val="00776742"/>
    <w:rsid w:val="00782C9F"/>
    <w:rsid w:val="007C72E2"/>
    <w:rsid w:val="007E0137"/>
    <w:rsid w:val="007E6CA9"/>
    <w:rsid w:val="008222B7"/>
    <w:rsid w:val="008310B1"/>
    <w:rsid w:val="008358BE"/>
    <w:rsid w:val="00854CCF"/>
    <w:rsid w:val="00860675"/>
    <w:rsid w:val="00864D2E"/>
    <w:rsid w:val="0086569A"/>
    <w:rsid w:val="00887B16"/>
    <w:rsid w:val="008E5F50"/>
    <w:rsid w:val="008F2AF8"/>
    <w:rsid w:val="00914303"/>
    <w:rsid w:val="009359A8"/>
    <w:rsid w:val="0095755A"/>
    <w:rsid w:val="009F6C5C"/>
    <w:rsid w:val="00A04990"/>
    <w:rsid w:val="00A11C63"/>
    <w:rsid w:val="00A165A4"/>
    <w:rsid w:val="00A45159"/>
    <w:rsid w:val="00A64E8F"/>
    <w:rsid w:val="00A6509D"/>
    <w:rsid w:val="00A839F3"/>
    <w:rsid w:val="00A866AA"/>
    <w:rsid w:val="00A91E8A"/>
    <w:rsid w:val="00A961BF"/>
    <w:rsid w:val="00A97A26"/>
    <w:rsid w:val="00AF30F0"/>
    <w:rsid w:val="00B161CA"/>
    <w:rsid w:val="00B22ECE"/>
    <w:rsid w:val="00BA740D"/>
    <w:rsid w:val="00BC4399"/>
    <w:rsid w:val="00BC6DA9"/>
    <w:rsid w:val="00BE226F"/>
    <w:rsid w:val="00BF50C3"/>
    <w:rsid w:val="00BF5C7B"/>
    <w:rsid w:val="00C1200D"/>
    <w:rsid w:val="00C62EAC"/>
    <w:rsid w:val="00C84915"/>
    <w:rsid w:val="00C84CBE"/>
    <w:rsid w:val="00C85978"/>
    <w:rsid w:val="00CC3024"/>
    <w:rsid w:val="00CC35DE"/>
    <w:rsid w:val="00CD5CE9"/>
    <w:rsid w:val="00CF0CDC"/>
    <w:rsid w:val="00CF6E75"/>
    <w:rsid w:val="00D074BC"/>
    <w:rsid w:val="00D371AF"/>
    <w:rsid w:val="00D53263"/>
    <w:rsid w:val="00D651B3"/>
    <w:rsid w:val="00D70C6A"/>
    <w:rsid w:val="00D720E5"/>
    <w:rsid w:val="00D97ACA"/>
    <w:rsid w:val="00DC1DB9"/>
    <w:rsid w:val="00DC43BF"/>
    <w:rsid w:val="00DD48ED"/>
    <w:rsid w:val="00DE791D"/>
    <w:rsid w:val="00E973F0"/>
    <w:rsid w:val="00EC381F"/>
    <w:rsid w:val="00ED1F53"/>
    <w:rsid w:val="00EF2265"/>
    <w:rsid w:val="00EF7D93"/>
    <w:rsid w:val="00F2237F"/>
    <w:rsid w:val="00F62EB1"/>
    <w:rsid w:val="00F6333E"/>
    <w:rsid w:val="00FB055B"/>
    <w:rsid w:val="00FE2F3A"/>
    <w:rsid w:val="00FF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CC35DE"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C35DE"/>
    <w:rPr>
      <w:u w:val="single"/>
    </w:rPr>
  </w:style>
  <w:style w:type="table" w:customStyle="1" w:styleId="TableNormal">
    <w:name w:val="Table Normal"/>
    <w:rsid w:val="00CC35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CC35DE"/>
    <w:pPr>
      <w:tabs>
        <w:tab w:val="center" w:pos="4677"/>
        <w:tab w:val="right" w:pos="9355"/>
      </w:tabs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a6">
    <w:name w:val="Верхн./нижн. кол."/>
    <w:rsid w:val="00CC35D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CC35DE"/>
    <w:pPr>
      <w:suppressAutoHyphens/>
      <w:ind w:firstLine="720"/>
    </w:pPr>
    <w:rPr>
      <w:rFonts w:ascii="Arial" w:eastAsia="Arial" w:hAnsi="Arial" w:cs="Arial"/>
      <w:color w:val="000000"/>
      <w:u w:color="000000"/>
    </w:rPr>
  </w:style>
  <w:style w:type="numbering" w:customStyle="1" w:styleId="a">
    <w:name w:val="С числами"/>
    <w:rsid w:val="00CC35DE"/>
    <w:pPr>
      <w:numPr>
        <w:numId w:val="1"/>
      </w:numPr>
    </w:pPr>
  </w:style>
  <w:style w:type="paragraph" w:styleId="a7">
    <w:name w:val="Body Text Indent"/>
    <w:rsid w:val="00CC35DE"/>
    <w:pPr>
      <w:suppressAutoHyphens/>
      <w:ind w:firstLine="720"/>
      <w:jc w:val="both"/>
    </w:pPr>
    <w:rPr>
      <w:rFonts w:eastAsia="Times New Roman"/>
      <w:color w:val="000000"/>
      <w:sz w:val="28"/>
      <w:szCs w:val="28"/>
      <w:u w:color="000000"/>
    </w:rPr>
  </w:style>
  <w:style w:type="paragraph" w:styleId="a8">
    <w:name w:val="Balloon Text"/>
    <w:basedOn w:val="a0"/>
    <w:link w:val="a9"/>
    <w:uiPriority w:val="99"/>
    <w:semiHidden/>
    <w:unhideWhenUsed/>
    <w:rsid w:val="00A165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165A4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ConsPlusNormal0">
    <w:name w:val="ConsPlusNormal Знак"/>
    <w:link w:val="ConsPlusNormal"/>
    <w:rsid w:val="00C62EAC"/>
    <w:rPr>
      <w:rFonts w:ascii="Arial" w:eastAsia="Arial" w:hAnsi="Arial" w:cs="Arial"/>
      <w:color w:val="000000"/>
      <w:u w:color="000000"/>
    </w:rPr>
  </w:style>
  <w:style w:type="character" w:styleId="aa">
    <w:name w:val="FollowedHyperlink"/>
    <w:basedOn w:val="a1"/>
    <w:uiPriority w:val="99"/>
    <w:semiHidden/>
    <w:unhideWhenUsed/>
    <w:rsid w:val="00C85978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EBB3FE0A71C83493B4AA0823FEEB7AEA00D2AC7283BC433979E2F39A41FFE8D171E6A28D3C1396z2jC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to63-muravyova</cp:lastModifiedBy>
  <cp:revision>60</cp:revision>
  <cp:lastPrinted>2018-07-18T05:48:00Z</cp:lastPrinted>
  <dcterms:created xsi:type="dcterms:W3CDTF">2017-04-27T04:55:00Z</dcterms:created>
  <dcterms:modified xsi:type="dcterms:W3CDTF">2018-10-23T10:16:00Z</dcterms:modified>
</cp:coreProperties>
</file>