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6" w:rsidRDefault="001F7A49" w:rsidP="00955035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1F7A49">
        <w:rPr>
          <w:rFonts w:ascii="Times New Roman" w:hAnsi="Times New Roman"/>
          <w:sz w:val="28"/>
          <w:szCs w:val="28"/>
        </w:rPr>
        <w:t xml:space="preserve">РЕШЕНИЕ </w:t>
      </w:r>
    </w:p>
    <w:p w:rsidR="001F7A49" w:rsidRPr="001F7A49" w:rsidRDefault="003043F6" w:rsidP="00955035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</w:t>
      </w:r>
      <w:r w:rsidR="001F7A49" w:rsidRPr="001F7A49">
        <w:rPr>
          <w:rFonts w:ascii="Times New Roman" w:hAnsi="Times New Roman"/>
          <w:sz w:val="28"/>
          <w:szCs w:val="28"/>
        </w:rPr>
        <w:t>№ К-</w:t>
      </w:r>
      <w:r w:rsidR="002F2A1D">
        <w:rPr>
          <w:rFonts w:ascii="Times New Roman" w:hAnsi="Times New Roman"/>
          <w:sz w:val="28"/>
          <w:szCs w:val="28"/>
        </w:rPr>
        <w:t>1491</w:t>
      </w:r>
      <w:r w:rsidR="001F7A49" w:rsidRPr="001F7A49">
        <w:rPr>
          <w:rFonts w:ascii="Times New Roman" w:hAnsi="Times New Roman"/>
          <w:sz w:val="28"/>
          <w:szCs w:val="28"/>
        </w:rPr>
        <w:t>/17</w:t>
      </w:r>
    </w:p>
    <w:p w:rsidR="001F7A49" w:rsidRPr="001F7A49" w:rsidRDefault="001F7A49" w:rsidP="00955035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1F7A49">
        <w:rPr>
          <w:rFonts w:ascii="Times New Roman" w:hAnsi="Times New Roman"/>
          <w:sz w:val="28"/>
          <w:szCs w:val="28"/>
        </w:rPr>
        <w:t xml:space="preserve">о нарушении законодательства Российской Федерации </w:t>
      </w:r>
    </w:p>
    <w:p w:rsidR="001F7A49" w:rsidRPr="001F7A49" w:rsidRDefault="001F7A49" w:rsidP="00955035">
      <w:pPr>
        <w:widowControl w:val="0"/>
        <w:spacing w:after="0" w:line="36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A49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:rsidR="001F7A49" w:rsidRPr="001F7A49" w:rsidRDefault="001F7A49" w:rsidP="00955035">
      <w:pPr>
        <w:widowControl w:val="0"/>
        <w:spacing w:after="0" w:line="36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4775"/>
        <w:gridCol w:w="4918"/>
      </w:tblGrid>
      <w:tr w:rsidR="001F7A49" w:rsidRPr="001F7A49" w:rsidTr="003043F6">
        <w:trPr>
          <w:trHeight w:val="330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7A49" w:rsidRPr="001F7A49" w:rsidRDefault="002F2A1D" w:rsidP="00955035">
            <w:pPr>
              <w:widowControl w:val="0"/>
              <w:spacing w:after="0" w:line="36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="001F7A49" w:rsidRPr="001F7A49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7A49" w:rsidRPr="001F7A49" w:rsidRDefault="001F7A49" w:rsidP="00955035">
            <w:pPr>
              <w:widowControl w:val="0"/>
              <w:spacing w:after="0" w:line="360" w:lineRule="exact"/>
              <w:ind w:right="-72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</w:tbl>
    <w:p w:rsidR="003043F6" w:rsidRPr="00125E2B" w:rsidRDefault="003043F6" w:rsidP="00FA4CAC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Комиссия Федеральной антимонопольной службы по контролю в сфере закупок (далее – Комиссия)</w:t>
      </w:r>
      <w:r w:rsidRPr="001620A8">
        <w:rPr>
          <w:rFonts w:ascii="Times New Roman" w:hAnsi="Times New Roman"/>
          <w:sz w:val="28"/>
          <w:szCs w:val="28"/>
        </w:rPr>
        <w:t>,</w:t>
      </w:r>
      <w:r w:rsidR="00FA4CAC">
        <w:rPr>
          <w:rFonts w:ascii="Times New Roman" w:hAnsi="Times New Roman"/>
          <w:sz w:val="28"/>
          <w:szCs w:val="28"/>
        </w:rPr>
        <w:t xml:space="preserve"> </w:t>
      </w:r>
      <w:r w:rsidRPr="00125E2B">
        <w:rPr>
          <w:rFonts w:ascii="Times New Roman" w:hAnsi="Times New Roman"/>
          <w:sz w:val="28"/>
          <w:szCs w:val="28"/>
        </w:rPr>
        <w:t xml:space="preserve">рассмотрев жалобу </w:t>
      </w:r>
      <w:r w:rsidR="002F2A1D" w:rsidRPr="001620A8">
        <w:rPr>
          <w:rFonts w:ascii="Times New Roman" w:hAnsi="Times New Roman"/>
          <w:sz w:val="28"/>
          <w:szCs w:val="28"/>
        </w:rPr>
        <w:t>ООО «</w:t>
      </w:r>
      <w:r w:rsidR="002F2A1D">
        <w:rPr>
          <w:rFonts w:ascii="Times New Roman" w:hAnsi="Times New Roman"/>
          <w:sz w:val="28"/>
          <w:szCs w:val="28"/>
        </w:rPr>
        <w:t>Приоритет Тольятти</w:t>
      </w:r>
      <w:r w:rsidR="002F2A1D" w:rsidRPr="001620A8">
        <w:rPr>
          <w:rFonts w:ascii="Times New Roman" w:hAnsi="Times New Roman"/>
          <w:sz w:val="28"/>
          <w:szCs w:val="28"/>
        </w:rPr>
        <w:t>»</w:t>
      </w:r>
      <w:r w:rsidRPr="00125E2B">
        <w:rPr>
          <w:rFonts w:ascii="Times New Roman" w:hAnsi="Times New Roman"/>
          <w:sz w:val="28"/>
          <w:szCs w:val="28"/>
        </w:rPr>
        <w:t xml:space="preserve"> (далее – Заявитель) </w:t>
      </w:r>
      <w:r w:rsidR="00944287">
        <w:rPr>
          <w:rFonts w:ascii="Times New Roman" w:hAnsi="Times New Roman"/>
          <w:sz w:val="28"/>
          <w:szCs w:val="28"/>
        </w:rPr>
        <w:t xml:space="preserve">на действия аукционной комиссии </w:t>
      </w:r>
      <w:r w:rsidR="00944287" w:rsidRPr="001620A8">
        <w:rPr>
          <w:rFonts w:ascii="Times New Roman" w:hAnsi="Times New Roman"/>
          <w:sz w:val="28"/>
          <w:szCs w:val="28"/>
        </w:rPr>
        <w:t>ФГАОУ ВО «Самарский национальный исследовательский университет имени академика С.П. Королева»</w:t>
      </w:r>
      <w:r w:rsidR="00944287">
        <w:rPr>
          <w:rFonts w:ascii="Times New Roman" w:hAnsi="Times New Roman"/>
          <w:sz w:val="28"/>
          <w:szCs w:val="28"/>
        </w:rPr>
        <w:t xml:space="preserve">                                      (далее – Аукционная комиссия) при проведении Министерством образования и науки Российской Федерации (далее – Заказчик), </w:t>
      </w:r>
      <w:r w:rsidR="00944287" w:rsidRPr="001620A8">
        <w:rPr>
          <w:rFonts w:ascii="Times New Roman" w:hAnsi="Times New Roman"/>
          <w:sz w:val="28"/>
          <w:szCs w:val="28"/>
        </w:rPr>
        <w:t>ФГАОУ ВО «Самарский национальный исследовательский университет имени академика С.П. Королева»</w:t>
      </w:r>
      <w:r w:rsidR="00944287">
        <w:rPr>
          <w:rFonts w:ascii="Times New Roman" w:hAnsi="Times New Roman"/>
          <w:sz w:val="28"/>
          <w:szCs w:val="28"/>
        </w:rPr>
        <w:t xml:space="preserve"> (далее – Уполномоченный орган), </w:t>
      </w:r>
      <w:r w:rsidRPr="001620A8">
        <w:rPr>
          <w:rFonts w:ascii="Times New Roman" w:hAnsi="Times New Roman"/>
          <w:sz w:val="28"/>
          <w:szCs w:val="28"/>
        </w:rPr>
        <w:t xml:space="preserve">ЗАО «Сбербанк-АСТ» (далее - Оператор электронной площадки) электронного аукциона на право заключения государственного контракта </w:t>
      </w:r>
      <w:r>
        <w:rPr>
          <w:rFonts w:ascii="Times New Roman" w:hAnsi="Times New Roman"/>
          <w:sz w:val="28"/>
          <w:szCs w:val="28"/>
        </w:rPr>
        <w:t>на выполнение работ по</w:t>
      </w:r>
      <w:r w:rsidRPr="001620A8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у</w:t>
      </w:r>
      <w:r w:rsidR="00510314">
        <w:rPr>
          <w:rFonts w:ascii="Times New Roman" w:hAnsi="Times New Roman"/>
          <w:sz w:val="28"/>
          <w:szCs w:val="28"/>
        </w:rPr>
        <w:t xml:space="preserve"> объекта «Общежитие Ф</w:t>
      </w:r>
      <w:r w:rsidRPr="001620A8">
        <w:rPr>
          <w:rFonts w:ascii="Times New Roman" w:hAnsi="Times New Roman"/>
          <w:sz w:val="28"/>
          <w:szCs w:val="28"/>
        </w:rPr>
        <w:t>едерального государственного бюджетного образовательного учреждения высшего профессионального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0A8">
        <w:rPr>
          <w:rFonts w:ascii="Times New Roman" w:hAnsi="Times New Roman"/>
          <w:sz w:val="28"/>
          <w:szCs w:val="28"/>
        </w:rPr>
        <w:t xml:space="preserve">(номер извещения  в единой информационной системе в сфере закупок </w:t>
      </w:r>
      <w:r>
        <w:rPr>
          <w:rFonts w:ascii="Times New Roman" w:hAnsi="Times New Roman"/>
          <w:sz w:val="28"/>
          <w:szCs w:val="28"/>
          <w:lang w:val="en-US"/>
        </w:rPr>
        <w:t>zakupki</w:t>
      </w:r>
      <w:r w:rsidRPr="00FB5F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FB5F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0A8">
        <w:rPr>
          <w:rFonts w:ascii="Times New Roman" w:hAnsi="Times New Roman"/>
          <w:sz w:val="28"/>
          <w:szCs w:val="28"/>
        </w:rPr>
        <w:t>(далее - ЕИС) 0342100017717000001) (далее – Аукцион)</w:t>
      </w:r>
      <w:r w:rsidRPr="00125E2B">
        <w:rPr>
          <w:rFonts w:ascii="Times New Roman" w:hAnsi="Times New Roman"/>
          <w:sz w:val="28"/>
          <w:szCs w:val="28"/>
        </w:rPr>
        <w:t>,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пунктом 3.31 административного регламента, утвержденного Приказом ФАС России от 19.11.2014 № 727/14 (далее – Административный регламент),</w:t>
      </w:r>
    </w:p>
    <w:p w:rsidR="003043F6" w:rsidRPr="00125E2B" w:rsidRDefault="003043F6" w:rsidP="00955035">
      <w:pPr>
        <w:widowControl w:val="0"/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43F6" w:rsidRDefault="003043F6" w:rsidP="00955035">
      <w:pPr>
        <w:widowControl w:val="0"/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УСТАНОВИЛА:</w:t>
      </w:r>
    </w:p>
    <w:p w:rsidR="002F2A1D" w:rsidRPr="00125E2B" w:rsidRDefault="002F2A1D" w:rsidP="00955035">
      <w:pPr>
        <w:widowControl w:val="0"/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43F6" w:rsidRPr="001620A8" w:rsidRDefault="003043F6" w:rsidP="00955035">
      <w:pPr>
        <w:widowControl w:val="0"/>
        <w:spacing w:before="120"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0A8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Заявителя на действия </w:t>
      </w:r>
      <w:r>
        <w:rPr>
          <w:rFonts w:ascii="Times New Roman" w:hAnsi="Times New Roman"/>
          <w:sz w:val="28"/>
          <w:szCs w:val="28"/>
        </w:rPr>
        <w:t>Аукционной комиссии</w:t>
      </w:r>
      <w:r w:rsidRPr="001620A8">
        <w:rPr>
          <w:rFonts w:ascii="Times New Roman" w:hAnsi="Times New Roman"/>
          <w:sz w:val="28"/>
          <w:szCs w:val="28"/>
        </w:rPr>
        <w:t xml:space="preserve"> при проведении Заказчиком, Уполномоченным органом,</w:t>
      </w:r>
      <w:r w:rsidRPr="00FA7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Аукционной комиссией, </w:t>
      </w:r>
      <w:r w:rsidRPr="001620A8">
        <w:rPr>
          <w:rFonts w:ascii="Times New Roman" w:hAnsi="Times New Roman"/>
          <w:sz w:val="28"/>
          <w:szCs w:val="28"/>
        </w:rPr>
        <w:t>Оператором электронной площадки Аукциона.</w:t>
      </w:r>
    </w:p>
    <w:p w:rsidR="003043F6" w:rsidRDefault="003043F6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D76">
        <w:rPr>
          <w:rFonts w:ascii="Times New Roman" w:hAnsi="Times New Roman"/>
          <w:sz w:val="28"/>
          <w:szCs w:val="28"/>
        </w:rPr>
        <w:lastRenderedPageBreak/>
        <w:t xml:space="preserve">По мнению Заявителя, его права и законные интересы нарушены действиями </w:t>
      </w:r>
      <w:r>
        <w:rPr>
          <w:rFonts w:ascii="Times New Roman" w:hAnsi="Times New Roman"/>
          <w:sz w:val="28"/>
          <w:szCs w:val="28"/>
        </w:rPr>
        <w:t>Аукционной комиссии, неправомерно принявшей решение о соответствии участника ООО «Строительные системы» требованиям документации об Аукционе.</w:t>
      </w:r>
    </w:p>
    <w:p w:rsidR="003043F6" w:rsidRPr="00125E2B" w:rsidRDefault="003043F6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Представитель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25E2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 не согласился с довод</w:t>
      </w:r>
      <w:r>
        <w:rPr>
          <w:rFonts w:ascii="Times New Roman" w:hAnsi="Times New Roman"/>
          <w:sz w:val="28"/>
          <w:szCs w:val="28"/>
        </w:rPr>
        <w:t>ом</w:t>
      </w:r>
      <w:r w:rsidRPr="00125E2B">
        <w:rPr>
          <w:rFonts w:ascii="Times New Roman" w:hAnsi="Times New Roman"/>
          <w:sz w:val="28"/>
          <w:szCs w:val="28"/>
        </w:rPr>
        <w:t xml:space="preserve"> Заявителя и сообщил, что при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укциона </w:t>
      </w:r>
      <w:r>
        <w:rPr>
          <w:rFonts w:ascii="Times New Roman" w:hAnsi="Times New Roman"/>
          <w:sz w:val="28"/>
          <w:szCs w:val="28"/>
        </w:rPr>
        <w:t>Аукционная комиссия</w:t>
      </w:r>
      <w:r w:rsidRPr="00125E2B">
        <w:rPr>
          <w:rFonts w:ascii="Times New Roman" w:hAnsi="Times New Roman"/>
          <w:sz w:val="28"/>
          <w:szCs w:val="28"/>
        </w:rPr>
        <w:t xml:space="preserve"> действовал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 в соответствии с положениями Закона о контрактной системе.</w:t>
      </w:r>
    </w:p>
    <w:p w:rsidR="003043F6" w:rsidRPr="00125E2B" w:rsidRDefault="003043F6" w:rsidP="00955035">
      <w:pPr>
        <w:widowControl w:val="0"/>
        <w:tabs>
          <w:tab w:val="left" w:pos="902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следующее.</w:t>
      </w:r>
    </w:p>
    <w:p w:rsidR="003043F6" w:rsidRPr="00125E2B" w:rsidRDefault="003043F6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>укцио</w:t>
      </w:r>
      <w:r>
        <w:rPr>
          <w:rFonts w:ascii="Times New Roman" w:hAnsi="Times New Roman"/>
          <w:sz w:val="28"/>
          <w:szCs w:val="28"/>
        </w:rPr>
        <w:t>на размещено в ЕИС – 23.08.2017</w:t>
      </w:r>
      <w:r w:rsidRPr="00125E2B">
        <w:rPr>
          <w:rFonts w:ascii="Times New Roman" w:hAnsi="Times New Roman"/>
          <w:sz w:val="28"/>
          <w:szCs w:val="28"/>
        </w:rPr>
        <w:t>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 – 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>укцион;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начальная (максимальная) цена контракта – </w:t>
      </w:r>
      <w:r w:rsidRPr="00FA7C9C">
        <w:rPr>
          <w:rFonts w:ascii="Times New Roman" w:hAnsi="Times New Roman"/>
          <w:sz w:val="28"/>
          <w:szCs w:val="28"/>
        </w:rPr>
        <w:t>247 460 761,95</w:t>
      </w:r>
      <w:r w:rsidRPr="00125E2B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125E2B">
        <w:rPr>
          <w:rFonts w:ascii="Times New Roman" w:hAnsi="Times New Roman"/>
          <w:sz w:val="28"/>
          <w:szCs w:val="28"/>
        </w:rPr>
        <w:t>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укционе подано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25E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ки</w:t>
      </w:r>
      <w:r w:rsidRPr="00125E2B">
        <w:rPr>
          <w:rFonts w:ascii="Times New Roman" w:hAnsi="Times New Roman"/>
          <w:sz w:val="28"/>
          <w:szCs w:val="28"/>
        </w:rPr>
        <w:t xml:space="preserve"> от участников закупки;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Аукционе допущено 3</w:t>
      </w:r>
      <w:r w:rsidRPr="00125E2B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 закупки;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дата проведения Аукциона – </w:t>
      </w:r>
      <w:r>
        <w:rPr>
          <w:rFonts w:ascii="Times New Roman" w:hAnsi="Times New Roman"/>
          <w:sz w:val="28"/>
          <w:szCs w:val="28"/>
        </w:rPr>
        <w:t>13.10.2017</w:t>
      </w:r>
      <w:r w:rsidRPr="00125E2B">
        <w:rPr>
          <w:rFonts w:ascii="Times New Roman" w:hAnsi="Times New Roman"/>
          <w:sz w:val="28"/>
          <w:szCs w:val="28"/>
        </w:rPr>
        <w:t>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в период проведения Аукциона предложения о цене контракта подавали </w:t>
      </w:r>
      <w:r>
        <w:rPr>
          <w:rFonts w:ascii="Times New Roman" w:hAnsi="Times New Roman"/>
          <w:sz w:val="28"/>
          <w:szCs w:val="28"/>
        </w:rPr>
        <w:t>2</w:t>
      </w:r>
      <w:r w:rsidRPr="00125E2B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 Аукциона;</w:t>
      </w:r>
    </w:p>
    <w:p w:rsidR="003043F6" w:rsidRPr="00125E2B" w:rsidRDefault="003043F6" w:rsidP="009550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>А</w:t>
      </w:r>
      <w:r w:rsidRPr="00125E2B">
        <w:rPr>
          <w:rFonts w:ascii="Times New Roman" w:hAnsi="Times New Roman"/>
          <w:sz w:val="28"/>
          <w:szCs w:val="28"/>
        </w:rPr>
        <w:t xml:space="preserve">укциона признано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125E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Строительные системы» </w:t>
      </w:r>
      <w:r w:rsidRPr="00125E2B">
        <w:rPr>
          <w:rFonts w:ascii="Times New Roman" w:hAnsi="Times New Roman"/>
          <w:sz w:val="28"/>
          <w:szCs w:val="28"/>
        </w:rPr>
        <w:t xml:space="preserve">с предложением о цене контракта </w:t>
      </w:r>
      <w:r>
        <w:rPr>
          <w:rFonts w:ascii="Times New Roman" w:hAnsi="Times New Roman"/>
          <w:sz w:val="28"/>
          <w:szCs w:val="28"/>
        </w:rPr>
        <w:t>242 511 546,71 рублей</w:t>
      </w:r>
      <w:r w:rsidRPr="00125E2B">
        <w:rPr>
          <w:rFonts w:ascii="Times New Roman" w:hAnsi="Times New Roman"/>
          <w:sz w:val="28"/>
          <w:szCs w:val="28"/>
        </w:rPr>
        <w:t>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По мнению Заявителя, Аукционной комиссией по результатам рассмотрения вторых частей заявок на участие в Аукционе неправомерно принято решение о соответствии заявки ООО «Строительные системы» требованиям документации об Аукционе.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 xml:space="preserve">В соответствии с частью 6 статьи 69 Закона о контрактной системе заявка на участие в электронном аукционе признается не соответствующей </w:t>
      </w:r>
      <w:r w:rsidRPr="00510314">
        <w:rPr>
          <w:rFonts w:ascii="Times New Roman" w:hAnsi="Times New Roman"/>
          <w:sz w:val="28"/>
          <w:szCs w:val="28"/>
        </w:rPr>
        <w:lastRenderedPageBreak/>
        <w:t>требованиям, установленным документацией о таком аукционе, в случае: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1) непредставления документов и информации, которые предусмотрены пунктами 1, 3 - 5, 7 и 8 части 2 статьи 62, частями 3 и 5 статьи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Закона о контрактной системе.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В соответствии с частью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Закона о контрактной системе, не допускается.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В соответствии с частью 4 статьи 31 Закона о контрактной системе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                       (подрядчиков, исполнителей) обязаны устанавливать такие дополнительные требования.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Дополнительные требования к участникам закупки отдельных видов товаров, работ, услуг установлены Постановлением Правительства от                04.02.2015 г. № 99 «Об установлении дополнительных требований к участникам закупки отдельных видов товаров, работ, услуг, случаев отнесения товаров, работ, услуг, которые по причине их технической и (или) технологической сложности, инновационного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                 № 99)</w:t>
      </w:r>
      <w:r w:rsidR="00944287">
        <w:rPr>
          <w:rFonts w:ascii="Times New Roman" w:hAnsi="Times New Roman"/>
          <w:sz w:val="28"/>
          <w:szCs w:val="28"/>
        </w:rPr>
        <w:t>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Соответствие участников закупки указанным требованиям подтверждается документами, предусмотренными приложениями № 1 и № 2 к          Постановлению № 99.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Согласно пункту 2 приложения № 1 к Постановлению № 99 к участникам закупки на выполнение работ строительных, включенных в коды 41.2, 42, 43 (кроме кода 43.13)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 устанавливается наличие опыта исполнения (с учетом правопреемства) одного контракта (договора) на выполнение соответствующих &lt;*&gt;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закупка.</w:t>
      </w:r>
    </w:p>
    <w:p w:rsid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Согласно примечанию</w:t>
      </w:r>
      <w:r w:rsidR="00585848">
        <w:rPr>
          <w:rFonts w:ascii="Times New Roman" w:hAnsi="Times New Roman"/>
          <w:sz w:val="28"/>
          <w:szCs w:val="28"/>
        </w:rPr>
        <w:t xml:space="preserve"> к дополнительным требованиям к участникам закупки пункта</w:t>
      </w:r>
      <w:r w:rsidR="00585848" w:rsidRPr="00510314">
        <w:rPr>
          <w:rFonts w:ascii="Times New Roman" w:hAnsi="Times New Roman"/>
          <w:sz w:val="28"/>
          <w:szCs w:val="28"/>
        </w:rPr>
        <w:t xml:space="preserve"> 2 приложения № 1 к Постановлению № 99</w:t>
      </w:r>
      <w:r w:rsidRPr="00510314">
        <w:rPr>
          <w:rFonts w:ascii="Times New Roman" w:hAnsi="Times New Roman"/>
          <w:sz w:val="28"/>
          <w:szCs w:val="28"/>
        </w:rPr>
        <w:t>,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 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944287" w:rsidRPr="00944287" w:rsidRDefault="00944287" w:rsidP="00955035">
      <w:pPr>
        <w:spacing w:after="0" w:line="36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944287">
        <w:rPr>
          <w:rFonts w:ascii="Times New Roman" w:hAnsi="Times New Roman"/>
          <w:sz w:val="28"/>
          <w:szCs w:val="28"/>
        </w:rPr>
        <w:t>При этом к д</w:t>
      </w:r>
      <w:r w:rsidRPr="009442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окументы, подтверждающим соответствие участников закупки дополнительным требованиям относятся копия исполненного контракта (договора);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9442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копия акта (актов) выполненных работ, содержащего (содержащих) все обязательные реквизиты, установленные частью 2 статьи 9 Федерального закона «О бухгалтерском учете»,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В документации об Аукционе к участникам закупки установлены дополнительные требования в соответствии с Постановлением № 99.</w:t>
      </w:r>
    </w:p>
    <w:p w:rsidR="00510314" w:rsidRP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На заседании Комиссии представитель Уп</w:t>
      </w:r>
      <w:r w:rsidR="00944287">
        <w:rPr>
          <w:rFonts w:ascii="Times New Roman" w:hAnsi="Times New Roman"/>
          <w:sz w:val="28"/>
          <w:szCs w:val="28"/>
        </w:rPr>
        <w:t>олномоченного органа представил</w:t>
      </w:r>
      <w:r w:rsidRPr="00510314">
        <w:rPr>
          <w:rFonts w:ascii="Times New Roman" w:hAnsi="Times New Roman"/>
          <w:sz w:val="28"/>
          <w:szCs w:val="28"/>
        </w:rPr>
        <w:t xml:space="preserve"> вторую часть заявки ООО «Строительные системы», согласно которой ООО «Строительные системы» в качестве подтверждения наличия опыта ранее исполненного контракта (договора) представлен договор субподряда № 7 от 16</w:t>
      </w:r>
      <w:r w:rsidR="00D769BB">
        <w:rPr>
          <w:rFonts w:ascii="Times New Roman" w:hAnsi="Times New Roman"/>
          <w:sz w:val="28"/>
          <w:szCs w:val="28"/>
        </w:rPr>
        <w:t>.10.</w:t>
      </w:r>
      <w:r w:rsidRPr="00510314">
        <w:rPr>
          <w:rFonts w:ascii="Times New Roman" w:hAnsi="Times New Roman"/>
          <w:sz w:val="28"/>
          <w:szCs w:val="28"/>
        </w:rPr>
        <w:t>2016 года.</w:t>
      </w:r>
    </w:p>
    <w:p w:rsidR="00510314" w:rsidRPr="00510314" w:rsidRDefault="00927788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</w:t>
      </w:r>
      <w:r w:rsidR="00510314" w:rsidRPr="00510314">
        <w:rPr>
          <w:rFonts w:ascii="Times New Roman" w:hAnsi="Times New Roman"/>
          <w:sz w:val="28"/>
          <w:szCs w:val="28"/>
        </w:rPr>
        <w:t>составе заявки ООО «Строительные системы» не приложены документы, подтверждающие соответствие участника Аукциона дополнительным требованиям, установленным Постановлением № 99.</w:t>
      </w:r>
    </w:p>
    <w:p w:rsidR="00510314" w:rsidRDefault="00510314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314">
        <w:rPr>
          <w:rFonts w:ascii="Times New Roman" w:hAnsi="Times New Roman"/>
          <w:sz w:val="28"/>
          <w:szCs w:val="28"/>
        </w:rPr>
        <w:t>Учитывая изложенное, Комиссия приходит к выводу о том, что действия Аукционной комиссии, выразившиеся в неправомерном принятии решения о признании вышеуказанной заявки участника закупки, соответствующей требованиям, установленным в документации об Аукционе нарушают часть 6 статьи 69 Закона о контрактной системе и содержат признаки состава административного правонарушения, предусмотренного частью 2 статьи 7.30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43A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</w:t>
      </w:r>
    </w:p>
    <w:p w:rsidR="003043F6" w:rsidRPr="00125E2B" w:rsidRDefault="003043F6" w:rsidP="00955035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На основании изложенного и руководствуясь частью 1 статьи 2,             пунктом 1 части 15</w:t>
      </w:r>
      <w:r w:rsidR="00510314">
        <w:rPr>
          <w:rFonts w:ascii="Times New Roman" w:hAnsi="Times New Roman"/>
          <w:sz w:val="28"/>
          <w:szCs w:val="28"/>
        </w:rPr>
        <w:t xml:space="preserve"> статьи 99</w:t>
      </w:r>
      <w:r w:rsidRPr="00125E2B">
        <w:rPr>
          <w:rFonts w:ascii="Times New Roman" w:hAnsi="Times New Roman"/>
          <w:sz w:val="28"/>
          <w:szCs w:val="28"/>
        </w:rPr>
        <w:t>, частью 8 статьи 106 Закона о контрактной системе, Административным регламентом Комиссия</w:t>
      </w:r>
    </w:p>
    <w:p w:rsidR="00D769BB" w:rsidRDefault="00D769BB" w:rsidP="00955035">
      <w:pPr>
        <w:widowControl w:val="0"/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43F6" w:rsidRDefault="003043F6" w:rsidP="00955035">
      <w:pPr>
        <w:widowControl w:val="0"/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5E2B">
        <w:rPr>
          <w:rFonts w:ascii="Times New Roman" w:hAnsi="Times New Roman"/>
          <w:sz w:val="28"/>
          <w:szCs w:val="28"/>
        </w:rPr>
        <w:t>РЕШИЛА:</w:t>
      </w:r>
    </w:p>
    <w:p w:rsidR="006B7815" w:rsidRPr="00125E2B" w:rsidRDefault="006B7815" w:rsidP="00955035">
      <w:pPr>
        <w:widowControl w:val="0"/>
        <w:spacing w:after="0" w:line="360" w:lineRule="exact"/>
        <w:ind w:firstLine="84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43F6" w:rsidRDefault="003043F6" w:rsidP="0095503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жалобу </w:t>
      </w:r>
      <w:r w:rsidR="002F2A1D" w:rsidRPr="001620A8">
        <w:rPr>
          <w:rFonts w:ascii="Times New Roman" w:hAnsi="Times New Roman"/>
          <w:sz w:val="28"/>
          <w:szCs w:val="28"/>
        </w:rPr>
        <w:t>ООО «</w:t>
      </w:r>
      <w:r w:rsidR="002F2A1D">
        <w:rPr>
          <w:rFonts w:ascii="Times New Roman" w:hAnsi="Times New Roman"/>
          <w:sz w:val="28"/>
          <w:szCs w:val="28"/>
        </w:rPr>
        <w:t>Приоритет Тольятти</w:t>
      </w:r>
      <w:r w:rsidR="002F2A1D" w:rsidRPr="001620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обоснованной.</w:t>
      </w:r>
    </w:p>
    <w:p w:rsidR="003043F6" w:rsidRDefault="003043F6" w:rsidP="0095503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 действиях Аукционной комиссии нарушение части </w:t>
      </w:r>
      <w:r w:rsidR="00700C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B53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статьи 6</w:t>
      </w:r>
      <w:r w:rsidR="00700C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6B7815" w:rsidRPr="00085949" w:rsidRDefault="006B7815" w:rsidP="0095503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949">
        <w:rPr>
          <w:rFonts w:ascii="Times New Roman" w:hAnsi="Times New Roman"/>
          <w:sz w:val="28"/>
          <w:szCs w:val="28"/>
        </w:rPr>
        <w:t>Предписание об устранении выявленн</w:t>
      </w:r>
      <w:r w:rsidR="00BB534C">
        <w:rPr>
          <w:rFonts w:ascii="Times New Roman" w:hAnsi="Times New Roman"/>
          <w:sz w:val="28"/>
          <w:szCs w:val="28"/>
        </w:rPr>
        <w:t>ого нарушения</w:t>
      </w:r>
      <w:r w:rsidRPr="00085949">
        <w:rPr>
          <w:rFonts w:ascii="Times New Roman" w:hAnsi="Times New Roman"/>
          <w:sz w:val="28"/>
          <w:szCs w:val="28"/>
        </w:rPr>
        <w:t xml:space="preserve"> не выдавать, в связи с тем, что предписание об устранении указанн</w:t>
      </w:r>
      <w:r>
        <w:rPr>
          <w:rFonts w:ascii="Times New Roman" w:hAnsi="Times New Roman"/>
          <w:sz w:val="28"/>
          <w:szCs w:val="28"/>
        </w:rPr>
        <w:t>ого нарушения</w:t>
      </w:r>
      <w:r w:rsidRPr="00085949">
        <w:rPr>
          <w:rFonts w:ascii="Times New Roman" w:hAnsi="Times New Roman"/>
          <w:sz w:val="28"/>
          <w:szCs w:val="28"/>
        </w:rPr>
        <w:t xml:space="preserve"> выдано на основании решения </w:t>
      </w:r>
      <w:r w:rsidRPr="001709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1709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7093F">
        <w:rPr>
          <w:rFonts w:ascii="Times New Roman" w:hAnsi="Times New Roman"/>
          <w:sz w:val="28"/>
          <w:szCs w:val="28"/>
        </w:rPr>
        <w:t>.2017 по делу № К-</w:t>
      </w:r>
      <w:r>
        <w:rPr>
          <w:rFonts w:ascii="Times New Roman" w:hAnsi="Times New Roman"/>
          <w:sz w:val="28"/>
          <w:szCs w:val="28"/>
        </w:rPr>
        <w:t>1395</w:t>
      </w:r>
      <w:r w:rsidRPr="0017093F">
        <w:rPr>
          <w:rFonts w:ascii="Times New Roman" w:hAnsi="Times New Roman"/>
          <w:sz w:val="28"/>
          <w:szCs w:val="28"/>
        </w:rPr>
        <w:t>/17</w:t>
      </w:r>
      <w:r>
        <w:rPr>
          <w:rFonts w:ascii="Times New Roman" w:hAnsi="Times New Roman"/>
          <w:sz w:val="28"/>
          <w:szCs w:val="28"/>
        </w:rPr>
        <w:t>.</w:t>
      </w:r>
    </w:p>
    <w:p w:rsidR="006B7815" w:rsidRDefault="006B7815" w:rsidP="0095503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949">
        <w:rPr>
          <w:rFonts w:ascii="Times New Roman" w:hAnsi="Times New Roman"/>
          <w:sz w:val="28"/>
          <w:szCs w:val="28"/>
        </w:rPr>
        <w:t>В связи с тем, что материалы по выявленн</w:t>
      </w:r>
      <w:r>
        <w:rPr>
          <w:rFonts w:ascii="Times New Roman" w:hAnsi="Times New Roman"/>
          <w:sz w:val="28"/>
          <w:szCs w:val="28"/>
        </w:rPr>
        <w:t>ому</w:t>
      </w:r>
      <w:r w:rsidRPr="00085949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ю</w:t>
      </w:r>
      <w:r w:rsidRPr="00085949">
        <w:rPr>
          <w:rFonts w:ascii="Times New Roman" w:hAnsi="Times New Roman"/>
          <w:sz w:val="28"/>
          <w:szCs w:val="28"/>
        </w:rPr>
        <w:t xml:space="preserve"> переданы на основании решения </w:t>
      </w:r>
      <w:r w:rsidRPr="001709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1709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7093F">
        <w:rPr>
          <w:rFonts w:ascii="Times New Roman" w:hAnsi="Times New Roman"/>
          <w:sz w:val="28"/>
          <w:szCs w:val="28"/>
        </w:rPr>
        <w:t>.2017 по делу № К-</w:t>
      </w:r>
      <w:r>
        <w:rPr>
          <w:rFonts w:ascii="Times New Roman" w:hAnsi="Times New Roman"/>
          <w:sz w:val="28"/>
          <w:szCs w:val="28"/>
        </w:rPr>
        <w:t>1395</w:t>
      </w:r>
      <w:r w:rsidRPr="0017093F">
        <w:rPr>
          <w:rFonts w:ascii="Times New Roman" w:hAnsi="Times New Roman"/>
          <w:sz w:val="28"/>
          <w:szCs w:val="28"/>
        </w:rPr>
        <w:t>/17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949">
        <w:rPr>
          <w:rFonts w:ascii="Times New Roman" w:hAnsi="Times New Roman"/>
          <w:sz w:val="28"/>
          <w:szCs w:val="28"/>
        </w:rPr>
        <w:t>должностному лицу Управления контроля размещения государственного заказа ФАС России для рассмотрения вопроса о возбуждении дел</w:t>
      </w:r>
      <w:r w:rsidR="00BB534C">
        <w:rPr>
          <w:rFonts w:ascii="Times New Roman" w:hAnsi="Times New Roman"/>
          <w:sz w:val="28"/>
          <w:szCs w:val="28"/>
        </w:rPr>
        <w:t>а</w:t>
      </w:r>
      <w:r w:rsidRPr="00085949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BB534C">
        <w:rPr>
          <w:rFonts w:ascii="Times New Roman" w:hAnsi="Times New Roman"/>
          <w:sz w:val="28"/>
          <w:szCs w:val="28"/>
        </w:rPr>
        <w:t>ом правонарушении</w:t>
      </w:r>
      <w:r w:rsidRPr="00085949">
        <w:rPr>
          <w:rFonts w:ascii="Times New Roman" w:hAnsi="Times New Roman"/>
          <w:sz w:val="28"/>
          <w:szCs w:val="28"/>
        </w:rPr>
        <w:t>, материалы по настоящему делу для рассмотрения вопроса о возбуждении дел</w:t>
      </w:r>
      <w:r>
        <w:rPr>
          <w:rFonts w:ascii="Times New Roman" w:hAnsi="Times New Roman"/>
          <w:sz w:val="28"/>
          <w:szCs w:val="28"/>
        </w:rPr>
        <w:t>а</w:t>
      </w:r>
      <w:r w:rsidRPr="00085949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085949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Pr="00085949">
        <w:rPr>
          <w:rFonts w:ascii="Times New Roman" w:hAnsi="Times New Roman"/>
          <w:sz w:val="28"/>
          <w:szCs w:val="28"/>
        </w:rPr>
        <w:t xml:space="preserve"> не передавать.</w:t>
      </w:r>
    </w:p>
    <w:p w:rsidR="003043F6" w:rsidRPr="00125E2B" w:rsidRDefault="003043F6" w:rsidP="00FA4CAC">
      <w:pPr>
        <w:widowControl w:val="0"/>
        <w:tabs>
          <w:tab w:val="left" w:pos="993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E2B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sectPr w:rsidR="003043F6" w:rsidRPr="00125E2B" w:rsidSect="00EB316D">
      <w:headerReference w:type="default" r:id="rId7"/>
      <w:pgSz w:w="11907" w:h="1638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B0" w:rsidRDefault="006B7815">
      <w:pPr>
        <w:spacing w:after="0"/>
      </w:pPr>
      <w:r>
        <w:separator/>
      </w:r>
    </w:p>
  </w:endnote>
  <w:endnote w:type="continuationSeparator" w:id="0">
    <w:p w:rsidR="00F23CB0" w:rsidRDefault="006B7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B0" w:rsidRDefault="006B7815">
      <w:pPr>
        <w:spacing w:after="0"/>
      </w:pPr>
      <w:r>
        <w:separator/>
      </w:r>
    </w:p>
  </w:footnote>
  <w:footnote w:type="continuationSeparator" w:id="0">
    <w:p w:rsidR="00F23CB0" w:rsidRDefault="006B78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6D" w:rsidRPr="00DB6D5F" w:rsidRDefault="001F7A49" w:rsidP="00DB6D5F">
    <w:pPr>
      <w:pStyle w:val="a3"/>
      <w:widowControl w:val="0"/>
      <w:tabs>
        <w:tab w:val="center" w:pos="4677"/>
        <w:tab w:val="right" w:pos="9355"/>
      </w:tabs>
      <w:spacing w:after="192"/>
      <w:jc w:val="center"/>
      <w:rPr>
        <w:sz w:val="24"/>
        <w:szCs w:val="24"/>
      </w:rPr>
    </w:pPr>
    <w:r w:rsidRPr="00DB6D5F">
      <w:rPr>
        <w:sz w:val="24"/>
        <w:szCs w:val="24"/>
      </w:rPr>
      <w:fldChar w:fldCharType="begin"/>
    </w:r>
    <w:r w:rsidRPr="00DB6D5F">
      <w:rPr>
        <w:sz w:val="24"/>
        <w:szCs w:val="24"/>
      </w:rPr>
      <w:instrText xml:space="preserve"> PAGE   \* MERGEFORMAT </w:instrText>
    </w:r>
    <w:r w:rsidRPr="00DB6D5F">
      <w:rPr>
        <w:sz w:val="24"/>
        <w:szCs w:val="24"/>
      </w:rPr>
      <w:fldChar w:fldCharType="separate"/>
    </w:r>
    <w:r w:rsidR="00D769BB">
      <w:rPr>
        <w:noProof/>
        <w:sz w:val="24"/>
        <w:szCs w:val="24"/>
      </w:rPr>
      <w:t>5</w:t>
    </w:r>
    <w:r w:rsidRPr="00DB6D5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6E9D"/>
    <w:multiLevelType w:val="hybridMultilevel"/>
    <w:tmpl w:val="98AC77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">
    <w:nsid w:val="55FC693C"/>
    <w:multiLevelType w:val="hybridMultilevel"/>
    <w:tmpl w:val="D598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9"/>
    <w:rsid w:val="001A7FE9"/>
    <w:rsid w:val="001F7A49"/>
    <w:rsid w:val="002F2A1D"/>
    <w:rsid w:val="003043F6"/>
    <w:rsid w:val="00396CB0"/>
    <w:rsid w:val="004164D7"/>
    <w:rsid w:val="00476593"/>
    <w:rsid w:val="004934CF"/>
    <w:rsid w:val="00510314"/>
    <w:rsid w:val="00585848"/>
    <w:rsid w:val="006B7815"/>
    <w:rsid w:val="00700CE5"/>
    <w:rsid w:val="00927788"/>
    <w:rsid w:val="00944287"/>
    <w:rsid w:val="00955035"/>
    <w:rsid w:val="00B97FC2"/>
    <w:rsid w:val="00BB534C"/>
    <w:rsid w:val="00BC7A05"/>
    <w:rsid w:val="00D769BB"/>
    <w:rsid w:val="00DB6D5F"/>
    <w:rsid w:val="00F23CB0"/>
    <w:rsid w:val="00F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A989-CF30-470F-BC95-BBDB76B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49"/>
    <w:pPr>
      <w:autoSpaceDE w:val="0"/>
      <w:autoSpaceDN w:val="0"/>
      <w:adjustRightInd w:val="0"/>
      <w:spacing w:after="192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A4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A49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304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3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B6D5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B6D5F"/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Дедкова Анастасия Викторовна</dc:creator>
  <cp:keywords/>
  <dc:description/>
  <cp:lastModifiedBy>Мишустина Анна Игоревна</cp:lastModifiedBy>
  <cp:revision>2</cp:revision>
  <cp:lastPrinted>2017-11-02T20:41:00Z</cp:lastPrinted>
  <dcterms:created xsi:type="dcterms:W3CDTF">2017-11-03T17:35:00Z</dcterms:created>
  <dcterms:modified xsi:type="dcterms:W3CDTF">2017-11-03T17:35:00Z</dcterms:modified>
</cp:coreProperties>
</file>